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E5" w:rsidRPr="001E6AE5" w:rsidRDefault="001E6AE5" w:rsidP="00003535">
      <w:pPr>
        <w:pStyle w:val="Heading1"/>
      </w:pPr>
      <w:r w:rsidRPr="001E6AE5">
        <w:t xml:space="preserve">Appendix B.  </w:t>
      </w:r>
      <w:proofErr w:type="spellStart"/>
      <w:proofErr w:type="gramStart"/>
      <w:r w:rsidRPr="001E6AE5">
        <w:t>Hf</w:t>
      </w:r>
      <w:proofErr w:type="spellEnd"/>
      <w:r w:rsidRPr="001E6AE5">
        <w:t xml:space="preserve"> isotopic data from the Chugach-Prince William </w:t>
      </w:r>
      <w:proofErr w:type="spellStart"/>
      <w:r w:rsidRPr="001E6AE5">
        <w:t>terrane</w:t>
      </w:r>
      <w:proofErr w:type="spellEnd"/>
      <w:r w:rsidRPr="001E6AE5">
        <w:t>, Alaska.</w:t>
      </w:r>
      <w:proofErr w:type="gramEnd"/>
    </w:p>
    <w:p w:rsidR="001E6AE5" w:rsidRPr="001E6AE5" w:rsidRDefault="001E6AE5" w:rsidP="00003535">
      <w:pPr>
        <w:pStyle w:val="Heading1"/>
      </w:pPr>
      <w:r w:rsidRPr="001E6AE5">
        <w:t xml:space="preserve">Analytical methods at the Arizona </w:t>
      </w:r>
      <w:proofErr w:type="spellStart"/>
      <w:r w:rsidRPr="001E6AE5">
        <w:t>LaserChron</w:t>
      </w:r>
      <w:proofErr w:type="spellEnd"/>
      <w:r w:rsidRPr="001E6AE5">
        <w:t xml:space="preserve"> Center</w:t>
      </w:r>
    </w:p>
    <w:p w:rsidR="001E6AE5" w:rsidRDefault="001E6AE5" w:rsidP="00003535">
      <w:pPr>
        <w:pStyle w:val="BodyText"/>
        <w:rPr>
          <w:color w:val="000000"/>
          <w:kern w:val="24"/>
        </w:rPr>
      </w:pPr>
      <w:proofErr w:type="spellStart"/>
      <w:r w:rsidRPr="001E6AE5">
        <w:t>Hf</w:t>
      </w:r>
      <w:proofErr w:type="spellEnd"/>
      <w:r w:rsidRPr="001E6AE5">
        <w:t xml:space="preserve"> isotope analyses are conducted with a Nu HR ICPMS connected to a New Wave UP193HE laser (2009-2010) or a Photon Machines </w:t>
      </w:r>
      <w:proofErr w:type="spellStart"/>
      <w:r w:rsidRPr="001E6AE5">
        <w:t>Analyte</w:t>
      </w:r>
      <w:proofErr w:type="spellEnd"/>
      <w:r w:rsidRPr="001E6AE5">
        <w:t xml:space="preserve"> G2 </w:t>
      </w:r>
      <w:proofErr w:type="spellStart"/>
      <w:r w:rsidRPr="001E6AE5">
        <w:t>excimer</w:t>
      </w:r>
      <w:proofErr w:type="spellEnd"/>
      <w:r w:rsidRPr="001E6AE5">
        <w:t xml:space="preserve"> laser (2011).  Instrument settings are established first by analysis of 10 ppb solutions of JMC475 and a </w:t>
      </w:r>
      <w:proofErr w:type="spellStart"/>
      <w:r w:rsidRPr="001E6AE5">
        <w:t>Spex</w:t>
      </w:r>
      <w:proofErr w:type="spellEnd"/>
      <w:r w:rsidRPr="001E6AE5">
        <w:t xml:space="preserve"> </w:t>
      </w:r>
      <w:proofErr w:type="spellStart"/>
      <w:r w:rsidRPr="001E6AE5">
        <w:t>Hf</w:t>
      </w:r>
      <w:proofErr w:type="spellEnd"/>
      <w:r w:rsidRPr="001E6AE5">
        <w:t xml:space="preserve"> solution, and then by analysis of 10 ppb solutions containing </w:t>
      </w:r>
      <w:proofErr w:type="spellStart"/>
      <w:r w:rsidRPr="001E6AE5">
        <w:t>Spex</w:t>
      </w:r>
      <w:proofErr w:type="spellEnd"/>
      <w:r w:rsidRPr="001E6AE5">
        <w:t xml:space="preserve"> </w:t>
      </w:r>
      <w:proofErr w:type="spellStart"/>
      <w:r w:rsidRPr="001E6AE5">
        <w:t>Hf</w:t>
      </w:r>
      <w:proofErr w:type="spellEnd"/>
      <w:r w:rsidRPr="001E6AE5">
        <w:t xml:space="preserve">, </w:t>
      </w:r>
      <w:proofErr w:type="spellStart"/>
      <w:r w:rsidRPr="001E6AE5">
        <w:t>Yb</w:t>
      </w:r>
      <w:proofErr w:type="spellEnd"/>
      <w:r w:rsidRPr="001E6AE5">
        <w:t xml:space="preserve">, and Lu.  The mixtures range in concentration of </w:t>
      </w:r>
      <w:proofErr w:type="spellStart"/>
      <w:r w:rsidRPr="001E6AE5">
        <w:t>Yb</w:t>
      </w:r>
      <w:proofErr w:type="spellEnd"/>
      <w:r w:rsidRPr="001E6AE5">
        <w:t xml:space="preserve"> and Lu, with </w:t>
      </w:r>
      <w:r w:rsidRPr="001E6AE5">
        <w:rPr>
          <w:vertAlign w:val="superscript"/>
        </w:rPr>
        <w:t>176</w:t>
      </w:r>
      <w:r w:rsidRPr="001E6AE5">
        <w:t>(</w:t>
      </w:r>
      <w:proofErr w:type="spellStart"/>
      <w:r w:rsidRPr="001E6AE5">
        <w:t>Yb+Lu</w:t>
      </w:r>
      <w:proofErr w:type="spellEnd"/>
      <w:r w:rsidRPr="001E6AE5">
        <w:t xml:space="preserve">) up to 70% of the </w:t>
      </w:r>
      <w:r w:rsidRPr="001E6AE5">
        <w:rPr>
          <w:vertAlign w:val="superscript"/>
        </w:rPr>
        <w:t>176</w:t>
      </w:r>
      <w:r w:rsidRPr="001E6AE5">
        <w:t xml:space="preserve">Hf.  When all solutions yield </w:t>
      </w:r>
      <w:r w:rsidRPr="001E6AE5">
        <w:rPr>
          <w:color w:val="000000"/>
          <w:kern w:val="24"/>
          <w:vertAlign w:val="superscript"/>
        </w:rPr>
        <w:t>176</w:t>
      </w:r>
      <w:r w:rsidRPr="001E6AE5">
        <w:rPr>
          <w:color w:val="000000"/>
          <w:kern w:val="24"/>
        </w:rPr>
        <w:t>Hf/</w:t>
      </w:r>
      <w:r w:rsidRPr="001E6AE5">
        <w:rPr>
          <w:color w:val="000000"/>
          <w:kern w:val="24"/>
          <w:vertAlign w:val="superscript"/>
        </w:rPr>
        <w:t>177</w:t>
      </w:r>
      <w:r w:rsidRPr="001E6AE5">
        <w:rPr>
          <w:color w:val="000000"/>
          <w:kern w:val="24"/>
        </w:rPr>
        <w:t xml:space="preserve">Hf of ~0.28216, instrument settings are optimized for laser ablation analyses and seven different standard zircons (Mud Tank, 91500, </w:t>
      </w:r>
      <w:proofErr w:type="spellStart"/>
      <w:r w:rsidRPr="001E6AE5">
        <w:rPr>
          <w:color w:val="000000"/>
          <w:kern w:val="24"/>
        </w:rPr>
        <w:t>Temora</w:t>
      </w:r>
      <w:proofErr w:type="spellEnd"/>
      <w:r w:rsidRPr="001E6AE5">
        <w:rPr>
          <w:color w:val="000000"/>
          <w:kern w:val="24"/>
        </w:rPr>
        <w:t xml:space="preserve">, R33, FC52, </w:t>
      </w:r>
      <w:proofErr w:type="spellStart"/>
      <w:r w:rsidRPr="001E6AE5">
        <w:rPr>
          <w:color w:val="000000"/>
          <w:kern w:val="24"/>
        </w:rPr>
        <w:t>Plesovice</w:t>
      </w:r>
      <w:proofErr w:type="spellEnd"/>
      <w:r w:rsidRPr="001E6AE5">
        <w:rPr>
          <w:color w:val="000000"/>
          <w:kern w:val="24"/>
        </w:rPr>
        <w:t>, and Sri Lanka) are analyzed.  These standards are included with unknowns on the same epoxy mounts.  When precision and accuracy are acceptable, unknowns are analyzed using exactly the same acquisition parameters.</w:t>
      </w:r>
    </w:p>
    <w:p w:rsidR="001E6AE5" w:rsidRDefault="001E6AE5" w:rsidP="00003535">
      <w:pPr>
        <w:pStyle w:val="BodyText"/>
      </w:pPr>
      <w:r w:rsidRPr="001E6AE5">
        <w:t>Laser ablation analyses are conducted with a laser beam diameter of 40 microns, with the ablation pits located on top of the U-</w:t>
      </w:r>
      <w:proofErr w:type="spellStart"/>
      <w:r w:rsidRPr="001E6AE5">
        <w:t>Pb</w:t>
      </w:r>
      <w:proofErr w:type="spellEnd"/>
      <w:r w:rsidRPr="001E6AE5">
        <w:t xml:space="preserve"> analysis pits.  CL images are used to ensure that the ablation pits do not overlap multiple age domains or inclusions.  Each acquisition consists of one 40-second integration on backgrounds (on peaks with no laser firing) followed by 60 one-second integrations with the laser firing.  Using a typical laser </w:t>
      </w:r>
      <w:proofErr w:type="spellStart"/>
      <w:r w:rsidRPr="001E6AE5">
        <w:t>fluence</w:t>
      </w:r>
      <w:proofErr w:type="spellEnd"/>
      <w:r w:rsidRPr="001E6AE5">
        <w:t xml:space="preserve"> of ~5 J/cm2 and pulse rate of 7 </w:t>
      </w:r>
      <w:proofErr w:type="spellStart"/>
      <w:proofErr w:type="gramStart"/>
      <w:r w:rsidRPr="001E6AE5">
        <w:t>hz</w:t>
      </w:r>
      <w:proofErr w:type="spellEnd"/>
      <w:proofErr w:type="gramEnd"/>
      <w:r w:rsidRPr="001E6AE5">
        <w:t>, the ablation rate is ~0.8 microns per second.  Each standard is analyzed o</w:t>
      </w:r>
      <w:r w:rsidR="009657AE">
        <w:t>nce for every ~20 unknowns.</w:t>
      </w:r>
    </w:p>
    <w:p w:rsidR="001E6AE5" w:rsidRDefault="001E6AE5" w:rsidP="00003535">
      <w:pPr>
        <w:pStyle w:val="BodyText"/>
      </w:pPr>
      <w:r w:rsidRPr="001E6AE5">
        <w:t xml:space="preserve">Isotope fractionation is accounted for using the method of </w:t>
      </w:r>
      <w:proofErr w:type="spellStart"/>
      <w:r w:rsidRPr="001E6AE5">
        <w:t>Woodhead</w:t>
      </w:r>
      <w:proofErr w:type="spellEnd"/>
      <w:r w:rsidRPr="001E6AE5">
        <w:t xml:space="preserve"> et al. (2004): </w:t>
      </w:r>
      <w:r w:rsidRPr="001E6AE5">
        <w:sym w:font="Symbol" w:char="F062"/>
      </w:r>
      <w:proofErr w:type="spellStart"/>
      <w:r w:rsidRPr="001E6AE5">
        <w:t>Hf</w:t>
      </w:r>
      <w:proofErr w:type="spellEnd"/>
      <w:r w:rsidRPr="001E6AE5">
        <w:t xml:space="preserve"> is determined from the measured </w:t>
      </w:r>
      <w:r w:rsidRPr="001E6AE5">
        <w:rPr>
          <w:vertAlign w:val="superscript"/>
        </w:rPr>
        <w:t>179</w:t>
      </w:r>
      <w:r w:rsidRPr="001E6AE5">
        <w:t>Hf/</w:t>
      </w:r>
      <w:r w:rsidRPr="001E6AE5">
        <w:rPr>
          <w:vertAlign w:val="superscript"/>
        </w:rPr>
        <w:t>177</w:t>
      </w:r>
      <w:r w:rsidRPr="001E6AE5">
        <w:t xml:space="preserve">Hf; </w:t>
      </w:r>
      <w:r w:rsidRPr="001E6AE5">
        <w:sym w:font="Symbol" w:char="F062"/>
      </w:r>
      <w:proofErr w:type="spellStart"/>
      <w:r w:rsidRPr="001E6AE5">
        <w:t>Yb</w:t>
      </w:r>
      <w:proofErr w:type="spellEnd"/>
      <w:r w:rsidRPr="001E6AE5">
        <w:t xml:space="preserve"> is determined from the measured </w:t>
      </w:r>
      <w:r w:rsidRPr="001E6AE5">
        <w:rPr>
          <w:vertAlign w:val="superscript"/>
        </w:rPr>
        <w:t>173</w:t>
      </w:r>
      <w:r w:rsidRPr="001E6AE5">
        <w:t>Yb/</w:t>
      </w:r>
      <w:r w:rsidRPr="001E6AE5">
        <w:rPr>
          <w:vertAlign w:val="superscript"/>
        </w:rPr>
        <w:t>171</w:t>
      </w:r>
      <w:r w:rsidRPr="001E6AE5">
        <w:t xml:space="preserve">Yb (except for very low </w:t>
      </w:r>
      <w:proofErr w:type="spellStart"/>
      <w:r w:rsidRPr="001E6AE5">
        <w:t>Yb</w:t>
      </w:r>
      <w:proofErr w:type="spellEnd"/>
      <w:r w:rsidRPr="001E6AE5">
        <w:t xml:space="preserve"> signals); </w:t>
      </w:r>
      <w:r w:rsidRPr="001E6AE5">
        <w:sym w:font="Symbol" w:char="F062"/>
      </w:r>
      <w:r w:rsidRPr="001E6AE5">
        <w:t xml:space="preserve">Lu is assumed to be the same as </w:t>
      </w:r>
      <w:r w:rsidRPr="001E6AE5">
        <w:sym w:font="Symbol" w:char="F062"/>
      </w:r>
      <w:proofErr w:type="spellStart"/>
      <w:r w:rsidRPr="001E6AE5">
        <w:t>Yb</w:t>
      </w:r>
      <w:proofErr w:type="spellEnd"/>
      <w:r w:rsidRPr="001E6AE5">
        <w:t xml:space="preserve">; and an exponential formula is used for fractionation correction.  </w:t>
      </w:r>
      <w:proofErr w:type="spellStart"/>
      <w:r w:rsidRPr="001E6AE5">
        <w:t>Yb</w:t>
      </w:r>
      <w:proofErr w:type="spellEnd"/>
      <w:r w:rsidRPr="001E6AE5">
        <w:t xml:space="preserve"> and Lu interferences are corrected by measurement of </w:t>
      </w:r>
      <w:r w:rsidRPr="001E6AE5">
        <w:rPr>
          <w:vertAlign w:val="superscript"/>
        </w:rPr>
        <w:t>176</w:t>
      </w:r>
      <w:r w:rsidRPr="001E6AE5">
        <w:t>Yb/</w:t>
      </w:r>
      <w:r w:rsidRPr="001E6AE5">
        <w:rPr>
          <w:vertAlign w:val="superscript"/>
        </w:rPr>
        <w:t>171</w:t>
      </w:r>
      <w:r w:rsidRPr="001E6AE5">
        <w:t xml:space="preserve">Yb and </w:t>
      </w:r>
      <w:r w:rsidRPr="001E6AE5">
        <w:rPr>
          <w:vertAlign w:val="superscript"/>
        </w:rPr>
        <w:t>176</w:t>
      </w:r>
      <w:r w:rsidRPr="001E6AE5">
        <w:t>Lu/</w:t>
      </w:r>
      <w:r w:rsidRPr="001E6AE5">
        <w:rPr>
          <w:vertAlign w:val="superscript"/>
        </w:rPr>
        <w:t>175</w:t>
      </w:r>
      <w:r w:rsidRPr="001E6AE5">
        <w:t xml:space="preserve">Lu (respectively), as advocated by </w:t>
      </w:r>
      <w:proofErr w:type="spellStart"/>
      <w:r w:rsidRPr="001E6AE5">
        <w:t>Woodhead</w:t>
      </w:r>
      <w:proofErr w:type="spellEnd"/>
      <w:r w:rsidRPr="001E6AE5">
        <w:t xml:space="preserve"> et al. (2004).  Critical isotope ratios are </w:t>
      </w:r>
      <w:r w:rsidRPr="001E6AE5">
        <w:rPr>
          <w:vertAlign w:val="superscript"/>
        </w:rPr>
        <w:t>179</w:t>
      </w:r>
      <w:r w:rsidRPr="001E6AE5">
        <w:t>Hf/</w:t>
      </w:r>
      <w:r w:rsidRPr="001E6AE5">
        <w:rPr>
          <w:vertAlign w:val="superscript"/>
        </w:rPr>
        <w:t>177</w:t>
      </w:r>
      <w:r w:rsidRPr="001E6AE5">
        <w:t>Hf =0.73250 (</w:t>
      </w:r>
      <w:proofErr w:type="spellStart"/>
      <w:r w:rsidRPr="001E6AE5">
        <w:t>Patchett</w:t>
      </w:r>
      <w:proofErr w:type="spellEnd"/>
      <w:r w:rsidRPr="001E6AE5">
        <w:t xml:space="preserve"> &amp; </w:t>
      </w:r>
      <w:proofErr w:type="spellStart"/>
      <w:r w:rsidRPr="001E6AE5">
        <w:t>Tatsumoto</w:t>
      </w:r>
      <w:proofErr w:type="spellEnd"/>
      <w:r w:rsidRPr="001E6AE5">
        <w:t xml:space="preserve">, 1980); </w:t>
      </w:r>
      <w:r w:rsidRPr="001E6AE5">
        <w:rPr>
          <w:vertAlign w:val="superscript"/>
        </w:rPr>
        <w:t>173</w:t>
      </w:r>
      <w:r w:rsidRPr="001E6AE5">
        <w:t>Yb/</w:t>
      </w:r>
      <w:r w:rsidRPr="001E6AE5">
        <w:rPr>
          <w:vertAlign w:val="superscript"/>
        </w:rPr>
        <w:t>171</w:t>
      </w:r>
      <w:r w:rsidRPr="001E6AE5">
        <w:t>Yb = 1.132338 (</w:t>
      </w:r>
      <w:proofErr w:type="spellStart"/>
      <w:r w:rsidRPr="001E6AE5">
        <w:t>Vervoort</w:t>
      </w:r>
      <w:proofErr w:type="spellEnd"/>
      <w:r w:rsidRPr="001E6AE5">
        <w:t xml:space="preserve"> et al. 2004); </w:t>
      </w:r>
      <w:r w:rsidRPr="001E6AE5">
        <w:rPr>
          <w:vertAlign w:val="superscript"/>
        </w:rPr>
        <w:t>176</w:t>
      </w:r>
      <w:r w:rsidRPr="001E6AE5">
        <w:t>Yb/</w:t>
      </w:r>
      <w:r w:rsidRPr="001E6AE5">
        <w:rPr>
          <w:vertAlign w:val="superscript"/>
        </w:rPr>
        <w:t>171</w:t>
      </w:r>
      <w:r w:rsidRPr="001E6AE5">
        <w:t>Yb =0.901691 (</w:t>
      </w:r>
      <w:proofErr w:type="spellStart"/>
      <w:r w:rsidRPr="001E6AE5">
        <w:t>Vervoort</w:t>
      </w:r>
      <w:proofErr w:type="spellEnd"/>
      <w:r w:rsidRPr="001E6AE5">
        <w:t xml:space="preserve"> et al., 2004; </w:t>
      </w:r>
      <w:proofErr w:type="spellStart"/>
      <w:r w:rsidRPr="001E6AE5">
        <w:t>Amelin</w:t>
      </w:r>
      <w:proofErr w:type="spellEnd"/>
      <w:r w:rsidRPr="001E6AE5">
        <w:t xml:space="preserve"> and Davis, 2005); </w:t>
      </w:r>
      <w:r w:rsidRPr="001E6AE5">
        <w:rPr>
          <w:vertAlign w:val="superscript"/>
        </w:rPr>
        <w:t>176</w:t>
      </w:r>
      <w:r w:rsidRPr="001E6AE5">
        <w:t>Lu/</w:t>
      </w:r>
      <w:r w:rsidRPr="001E6AE5">
        <w:rPr>
          <w:vertAlign w:val="superscript"/>
        </w:rPr>
        <w:t>175</w:t>
      </w:r>
      <w:r w:rsidRPr="001E6AE5">
        <w:t>Lu = 0.02653 (</w:t>
      </w:r>
      <w:proofErr w:type="spellStart"/>
      <w:r w:rsidRPr="001E6AE5">
        <w:t>Patchett</w:t>
      </w:r>
      <w:proofErr w:type="spellEnd"/>
      <w:r w:rsidRPr="001E6AE5">
        <w:t xml:space="preserve">, 1983).  All corrections are done line-by-line.  For very low </w:t>
      </w:r>
      <w:proofErr w:type="spellStart"/>
      <w:r w:rsidRPr="001E6AE5">
        <w:t>Yb</w:t>
      </w:r>
      <w:proofErr w:type="spellEnd"/>
      <w:r w:rsidRPr="001E6AE5">
        <w:t xml:space="preserve"> signals, </w:t>
      </w:r>
      <w:r w:rsidRPr="001E6AE5">
        <w:sym w:font="Symbol" w:char="F062"/>
      </w:r>
      <w:proofErr w:type="spellStart"/>
      <w:r w:rsidRPr="001E6AE5">
        <w:t>Hf</w:t>
      </w:r>
      <w:proofErr w:type="spellEnd"/>
      <w:r w:rsidRPr="001E6AE5">
        <w:t xml:space="preserve"> is used for fractionation of </w:t>
      </w:r>
      <w:proofErr w:type="spellStart"/>
      <w:r w:rsidRPr="001E6AE5">
        <w:t>Yb</w:t>
      </w:r>
      <w:proofErr w:type="spellEnd"/>
      <w:r w:rsidRPr="001E6AE5">
        <w:t xml:space="preserve"> isotopes.  The corrected </w:t>
      </w:r>
      <w:r w:rsidRPr="001E6AE5">
        <w:rPr>
          <w:vertAlign w:val="superscript"/>
        </w:rPr>
        <w:t>176</w:t>
      </w:r>
      <w:r w:rsidRPr="001E6AE5">
        <w:t>Hf/</w:t>
      </w:r>
      <w:r w:rsidRPr="001E6AE5">
        <w:rPr>
          <w:vertAlign w:val="superscript"/>
        </w:rPr>
        <w:t>177</w:t>
      </w:r>
      <w:r w:rsidRPr="001E6AE5">
        <w:t>Hf values are filtered for outliers (2-sigma filter), and the average and standard error are calculated from the resulting ~58 integrations.  There is no capability to use only a</w:t>
      </w:r>
      <w:r w:rsidR="009657AE">
        <w:t xml:space="preserve"> portion of the acquired data.</w:t>
      </w:r>
    </w:p>
    <w:p w:rsidR="001E6AE5" w:rsidRDefault="001E6AE5" w:rsidP="00003535">
      <w:pPr>
        <w:pStyle w:val="BodyText"/>
      </w:pPr>
      <w:r w:rsidRPr="001E6AE5">
        <w:t xml:space="preserve">All solutions, standards, and unknowns analyzed during a session are reduced together.  The cutoff for using </w:t>
      </w:r>
      <w:r w:rsidRPr="001E6AE5">
        <w:sym w:font="Symbol" w:char="F062"/>
      </w:r>
      <w:proofErr w:type="spellStart"/>
      <w:r w:rsidRPr="001E6AE5">
        <w:t>Hf</w:t>
      </w:r>
      <w:proofErr w:type="spellEnd"/>
      <w:r w:rsidRPr="001E6AE5">
        <w:t xml:space="preserve"> versus </w:t>
      </w:r>
      <w:r w:rsidRPr="001E6AE5">
        <w:sym w:font="Symbol" w:char="F062"/>
      </w:r>
      <w:proofErr w:type="spellStart"/>
      <w:r w:rsidRPr="001E6AE5">
        <w:t>Yb</w:t>
      </w:r>
      <w:proofErr w:type="spellEnd"/>
      <w:r w:rsidRPr="001E6AE5">
        <w:t xml:space="preserve"> is determined by monitoring the average offset of the standards from their known values, and the cutoff is set at the minimum offset.  For most data sets, this is achieved at ~6 mv of </w:t>
      </w:r>
      <w:r w:rsidRPr="001E6AE5">
        <w:rPr>
          <w:vertAlign w:val="superscript"/>
        </w:rPr>
        <w:t>171</w:t>
      </w:r>
      <w:r w:rsidRPr="001E6AE5">
        <w:t xml:space="preserve">Yb.  For sessions in which the standards yield </w:t>
      </w:r>
      <w:r w:rsidRPr="001E6AE5">
        <w:rPr>
          <w:vertAlign w:val="superscript"/>
        </w:rPr>
        <w:t>176</w:t>
      </w:r>
      <w:r w:rsidRPr="001E6AE5">
        <w:t>Hf/</w:t>
      </w:r>
      <w:r w:rsidRPr="001E6AE5">
        <w:rPr>
          <w:vertAlign w:val="superscript"/>
        </w:rPr>
        <w:t>177</w:t>
      </w:r>
      <w:r w:rsidRPr="001E6AE5">
        <w:t xml:space="preserve">Hf values that are shifted consistently from the know values, a correction factor is applied to the </w:t>
      </w:r>
      <w:r w:rsidRPr="001E6AE5">
        <w:rPr>
          <w:vertAlign w:val="superscript"/>
        </w:rPr>
        <w:t>176</w:t>
      </w:r>
      <w:r w:rsidRPr="001E6AE5">
        <w:t>Hf/</w:t>
      </w:r>
      <w:r w:rsidRPr="001E6AE5">
        <w:rPr>
          <w:vertAlign w:val="superscript"/>
        </w:rPr>
        <w:t>177</w:t>
      </w:r>
      <w:r w:rsidRPr="001E6AE5">
        <w:t>Hf of all standards and unknowns.  This correction factor, which is not necessary for most sess</w:t>
      </w:r>
      <w:r w:rsidR="009657AE">
        <w:t>ions, averages 1 epsilon unit.</w:t>
      </w:r>
    </w:p>
    <w:p w:rsidR="001E6AE5" w:rsidRPr="001E6AE5" w:rsidRDefault="001E6AE5" w:rsidP="00003535">
      <w:pPr>
        <w:pStyle w:val="BodyText"/>
        <w:rPr>
          <w:noProof/>
        </w:rPr>
      </w:pPr>
      <w:r w:rsidRPr="001E6AE5">
        <w:t xml:space="preserve">The </w:t>
      </w:r>
      <w:r w:rsidRPr="001E6AE5">
        <w:rPr>
          <w:vertAlign w:val="superscript"/>
        </w:rPr>
        <w:t>176</w:t>
      </w:r>
      <w:r w:rsidRPr="001E6AE5">
        <w:t>Hf/</w:t>
      </w:r>
      <w:r w:rsidRPr="001E6AE5">
        <w:rPr>
          <w:vertAlign w:val="superscript"/>
        </w:rPr>
        <w:t>177</w:t>
      </w:r>
      <w:r w:rsidRPr="001E6AE5">
        <w:t xml:space="preserve">Hf at time of crystallization is calculated from measurement of present-day </w:t>
      </w:r>
      <w:r w:rsidRPr="001E6AE5">
        <w:rPr>
          <w:vertAlign w:val="superscript"/>
        </w:rPr>
        <w:t>176</w:t>
      </w:r>
      <w:r w:rsidRPr="001E6AE5">
        <w:t>Hf/</w:t>
      </w:r>
      <w:r w:rsidRPr="001E6AE5">
        <w:rPr>
          <w:vertAlign w:val="superscript"/>
        </w:rPr>
        <w:t>177</w:t>
      </w:r>
      <w:r w:rsidRPr="001E6AE5">
        <w:t xml:space="preserve">Hf and </w:t>
      </w:r>
      <w:r w:rsidRPr="001E6AE5">
        <w:rPr>
          <w:vertAlign w:val="superscript"/>
        </w:rPr>
        <w:t>176</w:t>
      </w:r>
      <w:r w:rsidRPr="001E6AE5">
        <w:t>Lu/</w:t>
      </w:r>
      <w:r w:rsidRPr="001E6AE5">
        <w:rPr>
          <w:vertAlign w:val="superscript"/>
        </w:rPr>
        <w:t>177</w:t>
      </w:r>
      <w:r w:rsidRPr="001E6AE5">
        <w:t xml:space="preserve">Hf, using the decay constant of </w:t>
      </w:r>
      <w:r w:rsidRPr="001E6AE5">
        <w:rPr>
          <w:vertAlign w:val="superscript"/>
        </w:rPr>
        <w:t>176</w:t>
      </w:r>
      <w:r w:rsidRPr="001E6AE5">
        <w:t>Lu (λ = 1.867e</w:t>
      </w:r>
      <w:r w:rsidRPr="001E6AE5">
        <w:rPr>
          <w:vertAlign w:val="superscript"/>
        </w:rPr>
        <w:t>-11</w:t>
      </w:r>
      <w:r w:rsidRPr="001E6AE5">
        <w:t xml:space="preserve">) from Scherer et al. (2001) and </w:t>
      </w:r>
      <w:proofErr w:type="spellStart"/>
      <w:r w:rsidRPr="001E6AE5">
        <w:t>Söderlund</w:t>
      </w:r>
      <w:proofErr w:type="spellEnd"/>
      <w:r w:rsidRPr="001E6AE5">
        <w:t xml:space="preserve"> et al. (2004).  No capability is provided for calculating </w:t>
      </w:r>
      <w:proofErr w:type="spellStart"/>
      <w:r w:rsidRPr="001E6AE5">
        <w:t>Hf</w:t>
      </w:r>
      <w:proofErr w:type="spellEnd"/>
      <w:r w:rsidRPr="001E6AE5">
        <w:t xml:space="preserve"> Depleted Mantle model ages because the </w:t>
      </w:r>
      <w:r w:rsidRPr="001E6AE5">
        <w:rPr>
          <w:color w:val="000000"/>
          <w:kern w:val="24"/>
          <w:vertAlign w:val="superscript"/>
        </w:rPr>
        <w:t>176</w:t>
      </w:r>
      <w:r w:rsidRPr="001E6AE5">
        <w:rPr>
          <w:color w:val="000000"/>
          <w:kern w:val="24"/>
        </w:rPr>
        <w:t>Hf/</w:t>
      </w:r>
      <w:r w:rsidRPr="001E6AE5">
        <w:rPr>
          <w:color w:val="000000"/>
          <w:kern w:val="24"/>
          <w:vertAlign w:val="superscript"/>
        </w:rPr>
        <w:t>177</w:t>
      </w:r>
      <w:r w:rsidRPr="001E6AE5">
        <w:rPr>
          <w:color w:val="000000"/>
          <w:kern w:val="24"/>
        </w:rPr>
        <w:t xml:space="preserve">Hf and </w:t>
      </w:r>
      <w:r w:rsidRPr="001E6AE5">
        <w:rPr>
          <w:color w:val="000000"/>
          <w:kern w:val="24"/>
          <w:vertAlign w:val="superscript"/>
        </w:rPr>
        <w:t>176</w:t>
      </w:r>
      <w:r w:rsidRPr="001E6AE5">
        <w:rPr>
          <w:color w:val="000000"/>
          <w:kern w:val="24"/>
        </w:rPr>
        <w:t>Lu/</w:t>
      </w:r>
      <w:r w:rsidRPr="001E6AE5">
        <w:rPr>
          <w:color w:val="000000"/>
          <w:kern w:val="24"/>
          <w:vertAlign w:val="superscript"/>
        </w:rPr>
        <w:t>177</w:t>
      </w:r>
      <w:r w:rsidRPr="001E6AE5">
        <w:rPr>
          <w:color w:val="000000"/>
          <w:kern w:val="24"/>
        </w:rPr>
        <w:t>Hf of the source material(s) from which the zircon crystallized is not known.</w:t>
      </w:r>
    </w:p>
    <w:p w:rsidR="001E6AE5" w:rsidRDefault="001E6AE5" w:rsidP="00003535">
      <w:pPr>
        <w:pStyle w:val="BodyText"/>
        <w:rPr>
          <w:noProof/>
        </w:rPr>
      </w:pPr>
      <w:r w:rsidRPr="001E6AE5">
        <w:rPr>
          <w:noProof/>
        </w:rPr>
        <w:t xml:space="preserve">Notes for </w:t>
      </w:r>
      <w:r>
        <w:rPr>
          <w:noProof/>
        </w:rPr>
        <w:t>T</w:t>
      </w:r>
      <w:r w:rsidRPr="001E6AE5">
        <w:rPr>
          <w:noProof/>
        </w:rPr>
        <w:t>able</w:t>
      </w:r>
      <w:r>
        <w:rPr>
          <w:noProof/>
        </w:rPr>
        <w:t xml:space="preserve"> B</w:t>
      </w:r>
      <w:r w:rsidRPr="001E6AE5">
        <w:rPr>
          <w:noProof/>
        </w:rPr>
        <w:t>:</w:t>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Data</w:t>
      </w:r>
      <w:bookmarkStart w:id="0" w:name="_GoBack"/>
      <w:bookmarkEnd w:id="0"/>
      <w:r w:rsidRPr="000451D2">
        <w:rPr>
          <w:rFonts w:ascii="Times New Roman" w:hAnsi="Times New Roman"/>
          <w:noProof/>
          <w:sz w:val="20"/>
          <w:szCs w:val="20"/>
        </w:rPr>
        <w:t xml:space="preserve"> reduction methodology is from Woodhead et al. (2004)</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Analytical methods described in detail by Gehrels and Pecha (2014)</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w:t>
      </w:r>
      <w:r w:rsidRPr="000451D2">
        <w:rPr>
          <w:rFonts w:ascii="Times New Roman" w:hAnsi="Times New Roman"/>
          <w:noProof/>
          <w:sz w:val="20"/>
          <w:szCs w:val="20"/>
          <w:vertAlign w:val="superscript"/>
        </w:rPr>
        <w:t>176</w:t>
      </w:r>
      <w:r w:rsidRPr="000451D2">
        <w:rPr>
          <w:rFonts w:ascii="Times New Roman" w:hAnsi="Times New Roman"/>
          <w:noProof/>
          <w:sz w:val="20"/>
          <w:szCs w:val="20"/>
        </w:rPr>
        <w:t xml:space="preserve">Yb + </w:t>
      </w:r>
      <w:r w:rsidRPr="000451D2">
        <w:rPr>
          <w:rFonts w:ascii="Times New Roman" w:hAnsi="Times New Roman"/>
          <w:noProof/>
          <w:sz w:val="20"/>
          <w:szCs w:val="20"/>
          <w:vertAlign w:val="superscript"/>
        </w:rPr>
        <w:t>176</w:t>
      </w:r>
      <w:r w:rsidRPr="000451D2">
        <w:rPr>
          <w:rFonts w:ascii="Times New Roman" w:hAnsi="Times New Roman"/>
          <w:noProof/>
          <w:sz w:val="20"/>
          <w:szCs w:val="20"/>
        </w:rPr>
        <w:t xml:space="preserve">Lu) / </w:t>
      </w:r>
      <w:r w:rsidRPr="000451D2">
        <w:rPr>
          <w:rFonts w:ascii="Times New Roman" w:hAnsi="Times New Roman"/>
          <w:noProof/>
          <w:sz w:val="20"/>
          <w:szCs w:val="20"/>
          <w:vertAlign w:val="superscript"/>
        </w:rPr>
        <w:t>176</w:t>
      </w:r>
      <w:r w:rsidRPr="000451D2">
        <w:rPr>
          <w:rFonts w:ascii="Times New Roman" w:hAnsi="Times New Roman"/>
          <w:noProof/>
          <w:sz w:val="20"/>
          <w:szCs w:val="20"/>
        </w:rPr>
        <w:t xml:space="preserve">Hf (%) expresses the proportion of 176 due to </w:t>
      </w:r>
      <w:r w:rsidRPr="000451D2">
        <w:rPr>
          <w:rFonts w:ascii="Times New Roman" w:hAnsi="Times New Roman"/>
          <w:noProof/>
          <w:sz w:val="20"/>
          <w:szCs w:val="20"/>
          <w:vertAlign w:val="superscript"/>
        </w:rPr>
        <w:t>176</w:t>
      </w:r>
      <w:r w:rsidRPr="000451D2">
        <w:rPr>
          <w:rFonts w:ascii="Times New Roman" w:hAnsi="Times New Roman"/>
          <w:noProof/>
          <w:sz w:val="20"/>
          <w:szCs w:val="20"/>
        </w:rPr>
        <w:t xml:space="preserve">Yb + </w:t>
      </w:r>
      <w:r w:rsidRPr="000451D2">
        <w:rPr>
          <w:rFonts w:ascii="Times New Roman" w:hAnsi="Times New Roman"/>
          <w:noProof/>
          <w:sz w:val="20"/>
          <w:szCs w:val="20"/>
          <w:vertAlign w:val="superscript"/>
        </w:rPr>
        <w:t>176</w:t>
      </w:r>
      <w:r w:rsidRPr="000451D2">
        <w:rPr>
          <w:rFonts w:ascii="Times New Roman" w:hAnsi="Times New Roman"/>
          <w:noProof/>
          <w:sz w:val="20"/>
          <w:szCs w:val="20"/>
        </w:rPr>
        <w:t xml:space="preserve">Lu versus the proportion due to </w:t>
      </w:r>
      <w:r w:rsidRPr="000451D2">
        <w:rPr>
          <w:rFonts w:ascii="Times New Roman" w:hAnsi="Times New Roman"/>
          <w:noProof/>
          <w:sz w:val="20"/>
          <w:szCs w:val="20"/>
          <w:vertAlign w:val="superscript"/>
        </w:rPr>
        <w:t>176</w:t>
      </w:r>
      <w:r w:rsidRPr="000451D2">
        <w:rPr>
          <w:rFonts w:ascii="Times New Roman" w:hAnsi="Times New Roman"/>
          <w:noProof/>
          <w:sz w:val="20"/>
          <w:szCs w:val="20"/>
        </w:rPr>
        <w:t>Hf, in %.</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 xml:space="preserve">Volts Hf is the sum of voltages of all Hf isotopes. </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vertAlign w:val="superscript"/>
        </w:rPr>
        <w:t>176</w:t>
      </w:r>
      <w:r w:rsidRPr="000451D2">
        <w:rPr>
          <w:rFonts w:ascii="Times New Roman" w:hAnsi="Times New Roman"/>
          <w:noProof/>
          <w:sz w:val="20"/>
          <w:szCs w:val="20"/>
        </w:rPr>
        <w:t>Hf/</w:t>
      </w:r>
      <w:r w:rsidRPr="000451D2">
        <w:rPr>
          <w:rFonts w:ascii="Times New Roman" w:hAnsi="Times New Roman"/>
          <w:noProof/>
          <w:sz w:val="20"/>
          <w:szCs w:val="20"/>
          <w:vertAlign w:val="superscript"/>
        </w:rPr>
        <w:t>177</w:t>
      </w:r>
      <w:r w:rsidRPr="000451D2">
        <w:rPr>
          <w:rFonts w:ascii="Times New Roman" w:hAnsi="Times New Roman"/>
          <w:noProof/>
          <w:sz w:val="20"/>
          <w:szCs w:val="20"/>
        </w:rPr>
        <w:t xml:space="preserve">Hf is the measured </w:t>
      </w:r>
      <w:r w:rsidRPr="000451D2">
        <w:rPr>
          <w:rFonts w:ascii="Times New Roman" w:hAnsi="Times New Roman"/>
          <w:noProof/>
          <w:sz w:val="20"/>
          <w:szCs w:val="20"/>
          <w:vertAlign w:val="superscript"/>
        </w:rPr>
        <w:t>176</w:t>
      </w:r>
      <w:r w:rsidRPr="000451D2">
        <w:rPr>
          <w:rFonts w:ascii="Times New Roman" w:hAnsi="Times New Roman"/>
          <w:noProof/>
          <w:sz w:val="20"/>
          <w:szCs w:val="20"/>
        </w:rPr>
        <w:t>Hf/</w:t>
      </w:r>
      <w:r w:rsidRPr="000451D2">
        <w:rPr>
          <w:rFonts w:ascii="Times New Roman" w:hAnsi="Times New Roman"/>
          <w:noProof/>
          <w:sz w:val="20"/>
          <w:szCs w:val="20"/>
          <w:vertAlign w:val="superscript"/>
        </w:rPr>
        <w:t>177</w:t>
      </w:r>
      <w:r w:rsidRPr="000451D2">
        <w:rPr>
          <w:rFonts w:ascii="Times New Roman" w:hAnsi="Times New Roman"/>
          <w:noProof/>
          <w:sz w:val="20"/>
          <w:szCs w:val="20"/>
        </w:rPr>
        <w:t>Hf, corrected for fractionation and interfences. Shown with uncertainty expressed at 1-sigma.</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vertAlign w:val="superscript"/>
        </w:rPr>
        <w:t>176</w:t>
      </w:r>
      <w:r w:rsidRPr="000451D2">
        <w:rPr>
          <w:rFonts w:ascii="Times New Roman" w:hAnsi="Times New Roman"/>
          <w:noProof/>
          <w:sz w:val="20"/>
          <w:szCs w:val="20"/>
        </w:rPr>
        <w:t>Lu/</w:t>
      </w:r>
      <w:r w:rsidRPr="000451D2">
        <w:rPr>
          <w:rFonts w:ascii="Times New Roman" w:hAnsi="Times New Roman"/>
          <w:noProof/>
          <w:sz w:val="20"/>
          <w:szCs w:val="20"/>
          <w:vertAlign w:val="superscript"/>
        </w:rPr>
        <w:t>177</w:t>
      </w:r>
      <w:r w:rsidRPr="000451D2">
        <w:rPr>
          <w:rFonts w:ascii="Times New Roman" w:hAnsi="Times New Roman"/>
          <w:noProof/>
          <w:sz w:val="20"/>
          <w:szCs w:val="20"/>
        </w:rPr>
        <w:t xml:space="preserve">Hf is the intensity of </w:t>
      </w:r>
      <w:r w:rsidRPr="000451D2">
        <w:rPr>
          <w:rFonts w:ascii="Times New Roman" w:hAnsi="Times New Roman"/>
          <w:noProof/>
          <w:sz w:val="20"/>
          <w:szCs w:val="20"/>
          <w:vertAlign w:val="superscript"/>
        </w:rPr>
        <w:t>176</w:t>
      </w:r>
      <w:r w:rsidRPr="000451D2">
        <w:rPr>
          <w:rFonts w:ascii="Times New Roman" w:hAnsi="Times New Roman"/>
          <w:noProof/>
          <w:sz w:val="20"/>
          <w:szCs w:val="20"/>
        </w:rPr>
        <w:t xml:space="preserve">Lu, calculated from the measured instensity of </w:t>
      </w:r>
      <w:r w:rsidRPr="000451D2">
        <w:rPr>
          <w:rFonts w:ascii="Times New Roman" w:hAnsi="Times New Roman"/>
          <w:noProof/>
          <w:sz w:val="20"/>
          <w:szCs w:val="20"/>
          <w:vertAlign w:val="superscript"/>
        </w:rPr>
        <w:t>175</w:t>
      </w:r>
      <w:r w:rsidRPr="000451D2">
        <w:rPr>
          <w:rFonts w:ascii="Times New Roman" w:hAnsi="Times New Roman"/>
          <w:noProof/>
          <w:sz w:val="20"/>
          <w:szCs w:val="20"/>
        </w:rPr>
        <w:t xml:space="preserve">Lu and </w:t>
      </w:r>
      <w:r w:rsidRPr="000451D2">
        <w:rPr>
          <w:rFonts w:ascii="Times New Roman" w:hAnsi="Times New Roman"/>
          <w:noProof/>
          <w:sz w:val="20"/>
          <w:szCs w:val="20"/>
          <w:vertAlign w:val="superscript"/>
        </w:rPr>
        <w:t>176</w:t>
      </w:r>
      <w:r w:rsidRPr="000451D2">
        <w:rPr>
          <w:rFonts w:ascii="Times New Roman" w:hAnsi="Times New Roman"/>
          <w:noProof/>
          <w:sz w:val="20"/>
          <w:szCs w:val="20"/>
        </w:rPr>
        <w:t>Lu/</w:t>
      </w:r>
      <w:r w:rsidRPr="000451D2">
        <w:rPr>
          <w:rFonts w:ascii="Times New Roman" w:hAnsi="Times New Roman"/>
          <w:noProof/>
          <w:sz w:val="20"/>
          <w:szCs w:val="20"/>
          <w:vertAlign w:val="superscript"/>
        </w:rPr>
        <w:t>175</w:t>
      </w:r>
      <w:r w:rsidRPr="000451D2">
        <w:rPr>
          <w:rFonts w:ascii="Times New Roman" w:hAnsi="Times New Roman"/>
          <w:noProof/>
          <w:sz w:val="20"/>
          <w:szCs w:val="20"/>
        </w:rPr>
        <w:t xml:space="preserve">Lu=0.02653 (from Patchett, 1983), compared to the measured intensity of </w:t>
      </w:r>
      <w:r w:rsidRPr="000451D2">
        <w:rPr>
          <w:rFonts w:ascii="Times New Roman" w:hAnsi="Times New Roman"/>
          <w:noProof/>
          <w:sz w:val="20"/>
          <w:szCs w:val="20"/>
          <w:vertAlign w:val="superscript"/>
        </w:rPr>
        <w:t>177</w:t>
      </w:r>
      <w:r w:rsidRPr="000451D2">
        <w:rPr>
          <w:rFonts w:ascii="Times New Roman" w:hAnsi="Times New Roman"/>
          <w:noProof/>
          <w:sz w:val="20"/>
          <w:szCs w:val="20"/>
        </w:rPr>
        <w:t>Hf.  Fractionation of Lu isotopes is assumed to be the same as fractionation of Yb isotopes.</w:t>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vertAlign w:val="superscript"/>
        </w:rPr>
        <w:t>176</w:t>
      </w:r>
      <w:r w:rsidRPr="000451D2">
        <w:rPr>
          <w:rFonts w:ascii="Times New Roman" w:hAnsi="Times New Roman"/>
          <w:noProof/>
          <w:sz w:val="20"/>
          <w:szCs w:val="20"/>
        </w:rPr>
        <w:t>Hf/</w:t>
      </w:r>
      <w:r w:rsidRPr="000451D2">
        <w:rPr>
          <w:rFonts w:ascii="Times New Roman" w:hAnsi="Times New Roman"/>
          <w:noProof/>
          <w:sz w:val="20"/>
          <w:szCs w:val="20"/>
          <w:vertAlign w:val="superscript"/>
        </w:rPr>
        <w:t>177</w:t>
      </w:r>
      <w:r w:rsidRPr="000451D2">
        <w:rPr>
          <w:rFonts w:ascii="Times New Roman" w:hAnsi="Times New Roman"/>
          <w:noProof/>
          <w:sz w:val="20"/>
          <w:szCs w:val="20"/>
        </w:rPr>
        <w:t xml:space="preserve">Hf (T) is the </w:t>
      </w:r>
      <w:r w:rsidRPr="000451D2">
        <w:rPr>
          <w:rFonts w:ascii="Times New Roman" w:hAnsi="Times New Roman"/>
          <w:noProof/>
          <w:sz w:val="20"/>
          <w:szCs w:val="20"/>
          <w:vertAlign w:val="superscript"/>
        </w:rPr>
        <w:t>176</w:t>
      </w:r>
      <w:r w:rsidRPr="000451D2">
        <w:rPr>
          <w:rFonts w:ascii="Times New Roman" w:hAnsi="Times New Roman"/>
          <w:noProof/>
          <w:sz w:val="20"/>
          <w:szCs w:val="20"/>
        </w:rPr>
        <w:t>Hf/</w:t>
      </w:r>
      <w:r w:rsidRPr="000451D2">
        <w:rPr>
          <w:rFonts w:ascii="Times New Roman" w:hAnsi="Times New Roman"/>
          <w:noProof/>
          <w:sz w:val="20"/>
          <w:szCs w:val="20"/>
          <w:vertAlign w:val="superscript"/>
        </w:rPr>
        <w:t>177</w:t>
      </w:r>
      <w:r w:rsidRPr="000451D2">
        <w:rPr>
          <w:rFonts w:ascii="Times New Roman" w:hAnsi="Times New Roman"/>
          <w:noProof/>
          <w:sz w:val="20"/>
          <w:szCs w:val="20"/>
        </w:rPr>
        <w:t>Hf corrected to the time of crystallization using a decay constant of 1.867e-11 (from Scherer et al., 2001 and Soderland et al., 2004)</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 xml:space="preserve">E-Hf (0) is the present-day epsilon Hf value using </w:t>
      </w:r>
      <w:r w:rsidRPr="000451D2">
        <w:rPr>
          <w:rFonts w:ascii="Times New Roman" w:hAnsi="Times New Roman"/>
          <w:noProof/>
          <w:sz w:val="20"/>
          <w:szCs w:val="20"/>
          <w:vertAlign w:val="superscript"/>
        </w:rPr>
        <w:t>176</w:t>
      </w:r>
      <w:r w:rsidRPr="000451D2">
        <w:rPr>
          <w:rFonts w:ascii="Times New Roman" w:hAnsi="Times New Roman"/>
          <w:noProof/>
          <w:sz w:val="20"/>
          <w:szCs w:val="20"/>
        </w:rPr>
        <w:t>Hf/</w:t>
      </w:r>
      <w:r w:rsidRPr="000451D2">
        <w:rPr>
          <w:rFonts w:ascii="Times New Roman" w:hAnsi="Times New Roman"/>
          <w:noProof/>
          <w:sz w:val="20"/>
          <w:szCs w:val="20"/>
          <w:vertAlign w:val="superscript"/>
        </w:rPr>
        <w:t>177</w:t>
      </w:r>
      <w:r w:rsidRPr="000451D2">
        <w:rPr>
          <w:rFonts w:ascii="Times New Roman" w:hAnsi="Times New Roman"/>
          <w:noProof/>
          <w:sz w:val="20"/>
          <w:szCs w:val="20"/>
        </w:rPr>
        <w:t xml:space="preserve">Hf=0.282785 and </w:t>
      </w:r>
      <w:r w:rsidRPr="000451D2">
        <w:rPr>
          <w:rFonts w:ascii="Times New Roman" w:hAnsi="Times New Roman"/>
          <w:noProof/>
          <w:sz w:val="20"/>
          <w:szCs w:val="20"/>
          <w:vertAlign w:val="superscript"/>
        </w:rPr>
        <w:t>176</w:t>
      </w:r>
      <w:r w:rsidRPr="000451D2">
        <w:rPr>
          <w:rFonts w:ascii="Times New Roman" w:hAnsi="Times New Roman"/>
          <w:noProof/>
          <w:sz w:val="20"/>
          <w:szCs w:val="20"/>
        </w:rPr>
        <w:t>Lu/</w:t>
      </w:r>
      <w:r w:rsidRPr="000451D2">
        <w:rPr>
          <w:rFonts w:ascii="Times New Roman" w:hAnsi="Times New Roman"/>
          <w:noProof/>
          <w:sz w:val="20"/>
          <w:szCs w:val="20"/>
          <w:vertAlign w:val="superscript"/>
        </w:rPr>
        <w:t>177</w:t>
      </w:r>
      <w:r w:rsidRPr="000451D2">
        <w:rPr>
          <w:rFonts w:ascii="Times New Roman" w:hAnsi="Times New Roman"/>
          <w:noProof/>
          <w:sz w:val="20"/>
          <w:szCs w:val="20"/>
        </w:rPr>
        <w:t>Hf=0.0336 (from Bouvier et al., 2008). The uncertainty is expressed at 1-sigma.</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E-Hf (T) is the epsilon Hf value at the time of crystallization. The uncertainty is expressed at 1-sigma.</w:t>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U-Pb ages are based on 206/238 for ages younger than ~1.0 Ga, and on 206/207 for ages older than ~1.0 Ga. This age cutoff may be slightly different for each sample.</w:t>
      </w:r>
      <w:r w:rsidRPr="000451D2">
        <w:rPr>
          <w:rFonts w:ascii="Times New Roman" w:hAnsi="Times New Roman"/>
          <w:noProof/>
          <w:sz w:val="20"/>
          <w:szCs w:val="20"/>
        </w:rPr>
        <w:tab/>
      </w:r>
    </w:p>
    <w:p w:rsidR="001E6AE5" w:rsidRPr="000451D2" w:rsidRDefault="001E6AE5" w:rsidP="00003535">
      <w:pPr>
        <w:pStyle w:val="ListParagraph"/>
        <w:numPr>
          <w:ilvl w:val="0"/>
          <w:numId w:val="1"/>
        </w:numPr>
        <w:ind w:right="0"/>
        <w:rPr>
          <w:rFonts w:ascii="Times New Roman" w:hAnsi="Times New Roman"/>
          <w:noProof/>
          <w:sz w:val="20"/>
          <w:szCs w:val="20"/>
        </w:rPr>
      </w:pPr>
      <w:r w:rsidRPr="000451D2">
        <w:rPr>
          <w:rFonts w:ascii="Times New Roman" w:hAnsi="Times New Roman"/>
          <w:noProof/>
          <w:sz w:val="20"/>
          <w:szCs w:val="20"/>
        </w:rPr>
        <w:t>Isotope ratios as follows:</w:t>
      </w:r>
      <w:r w:rsidRPr="000451D2">
        <w:rPr>
          <w:rFonts w:ascii="Times New Roman" w:hAnsi="Times New Roman"/>
          <w:noProof/>
          <w:sz w:val="20"/>
          <w:szCs w:val="20"/>
        </w:rPr>
        <w:tab/>
      </w:r>
      <w:r w:rsidRPr="000451D2">
        <w:rPr>
          <w:rFonts w:ascii="Times New Roman" w:hAnsi="Times New Roman"/>
          <w:noProof/>
          <w:sz w:val="20"/>
          <w:szCs w:val="20"/>
        </w:rPr>
        <w:tab/>
      </w:r>
      <w:r w:rsidRPr="000451D2">
        <w:rPr>
          <w:rFonts w:ascii="Times New Roman" w:hAnsi="Times New Roman"/>
          <w:noProof/>
          <w:sz w:val="20"/>
          <w:szCs w:val="20"/>
        </w:rPr>
        <w:tab/>
      </w:r>
      <w:r w:rsidRPr="000451D2">
        <w:rPr>
          <w:rFonts w:ascii="Times New Roman" w:hAnsi="Times New Roman"/>
          <w:noProof/>
          <w:sz w:val="20"/>
          <w:szCs w:val="20"/>
        </w:rPr>
        <w:br/>
        <w:t>180/177  1.8866600  Patchett (1983)</w:t>
      </w:r>
    </w:p>
    <w:p w:rsidR="001E6AE5" w:rsidRPr="000451D2" w:rsidRDefault="001E6AE5" w:rsidP="00003535">
      <w:pPr>
        <w:pStyle w:val="List3"/>
        <w:rPr>
          <w:noProof/>
        </w:rPr>
      </w:pPr>
      <w:r w:rsidRPr="000451D2">
        <w:rPr>
          <w:noProof/>
        </w:rPr>
        <w:t>179/177  0.7325000  Patchett &amp; Tatsumoto (1980)</w:t>
      </w:r>
    </w:p>
    <w:p w:rsidR="001E6AE5" w:rsidRPr="000451D2" w:rsidRDefault="001E6AE5" w:rsidP="00003535">
      <w:pPr>
        <w:pStyle w:val="List3"/>
        <w:rPr>
          <w:noProof/>
        </w:rPr>
      </w:pPr>
      <w:r w:rsidRPr="000451D2">
        <w:rPr>
          <w:noProof/>
        </w:rPr>
        <w:t>178/177  1.4671800  Patchett (1983)</w:t>
      </w:r>
    </w:p>
    <w:p w:rsidR="001E6AE5" w:rsidRPr="000451D2" w:rsidRDefault="001E6AE5" w:rsidP="00003535">
      <w:pPr>
        <w:pStyle w:val="List3"/>
        <w:rPr>
          <w:noProof/>
        </w:rPr>
      </w:pPr>
      <w:r w:rsidRPr="000451D2">
        <w:rPr>
          <w:noProof/>
        </w:rPr>
        <w:t>176/177  0.2821600  Patchett (1983)</w:t>
      </w:r>
    </w:p>
    <w:p w:rsidR="001E6AE5" w:rsidRPr="000451D2" w:rsidRDefault="001E6AE5" w:rsidP="00003535">
      <w:pPr>
        <w:pStyle w:val="List3"/>
        <w:rPr>
          <w:noProof/>
        </w:rPr>
      </w:pPr>
      <w:r w:rsidRPr="000451D2">
        <w:rPr>
          <w:noProof/>
        </w:rPr>
        <w:t>174/177  0.0087100  Patchett (1983)</w:t>
      </w:r>
    </w:p>
    <w:p w:rsidR="001E6AE5" w:rsidRPr="000451D2" w:rsidRDefault="001E6AE5" w:rsidP="00003535">
      <w:pPr>
        <w:pStyle w:val="List3"/>
        <w:rPr>
          <w:noProof/>
        </w:rPr>
      </w:pPr>
      <w:r w:rsidRPr="000451D2">
        <w:rPr>
          <w:noProof/>
        </w:rPr>
        <w:t>176/175  0.0265300  Patchett (1983)</w:t>
      </w:r>
    </w:p>
    <w:p w:rsidR="001E6AE5" w:rsidRPr="000451D2" w:rsidRDefault="001E6AE5" w:rsidP="00003535">
      <w:pPr>
        <w:pStyle w:val="List3"/>
        <w:rPr>
          <w:noProof/>
        </w:rPr>
      </w:pPr>
      <w:r w:rsidRPr="000451D2">
        <w:rPr>
          <w:noProof/>
        </w:rPr>
        <w:t>176/171  0.9016910  Vervoort et al. (2004)</w:t>
      </w:r>
    </w:p>
    <w:p w:rsidR="001E6AE5" w:rsidRPr="000451D2" w:rsidRDefault="001E6AE5" w:rsidP="00003535">
      <w:pPr>
        <w:pStyle w:val="List3"/>
        <w:rPr>
          <w:noProof/>
        </w:rPr>
      </w:pPr>
      <w:r w:rsidRPr="000451D2">
        <w:rPr>
          <w:noProof/>
        </w:rPr>
        <w:t>173/171  1.1323569  Vervoort et al. (2004)</w:t>
      </w:r>
    </w:p>
    <w:p w:rsidR="001E6AE5" w:rsidRPr="000451D2" w:rsidRDefault="001E6AE5" w:rsidP="00003535">
      <w:pPr>
        <w:pStyle w:val="List3"/>
        <w:rPr>
          <w:noProof/>
        </w:rPr>
      </w:pPr>
      <w:r w:rsidRPr="000451D2">
        <w:rPr>
          <w:noProof/>
        </w:rPr>
        <w:t>172/171  1.5317360  Vervoort et al. (2004)</w:t>
      </w:r>
    </w:p>
    <w:p w:rsidR="001E6AE5" w:rsidRPr="000451D2" w:rsidRDefault="001E6AE5" w:rsidP="00003535">
      <w:pPr>
        <w:rPr>
          <w:noProof/>
        </w:rPr>
      </w:pPr>
    </w:p>
    <w:p w:rsidR="001E6AE5" w:rsidRPr="000451D2" w:rsidRDefault="001E6AE5" w:rsidP="00003535">
      <w:pPr>
        <w:rPr>
          <w:b/>
        </w:rPr>
      </w:pPr>
    </w:p>
    <w:p w:rsidR="001E6AE5" w:rsidRPr="001E6AE5" w:rsidRDefault="001E6AE5" w:rsidP="00003535">
      <w:pPr>
        <w:pStyle w:val="Heading1"/>
      </w:pPr>
      <w:r w:rsidRPr="001E6AE5">
        <w:t>References</w:t>
      </w:r>
    </w:p>
    <w:p w:rsidR="001E6AE5" w:rsidRPr="001E6AE5" w:rsidRDefault="001E6AE5" w:rsidP="00003535">
      <w:pPr>
        <w:pStyle w:val="BodyText"/>
      </w:pPr>
      <w:proofErr w:type="spellStart"/>
      <w:r w:rsidRPr="001E6AE5">
        <w:t>Amelin</w:t>
      </w:r>
      <w:proofErr w:type="spellEnd"/>
      <w:r w:rsidRPr="001E6AE5">
        <w:t xml:space="preserve">, Y., and Davis, W.J., 2005, Geochemical test for branching decay of 176Lu: </w:t>
      </w:r>
      <w:proofErr w:type="spellStart"/>
      <w:r w:rsidRPr="001E6AE5">
        <w:t>Geochimica</w:t>
      </w:r>
      <w:proofErr w:type="spellEnd"/>
      <w:r w:rsidRPr="001E6AE5">
        <w:t xml:space="preserve"> </w:t>
      </w:r>
      <w:proofErr w:type="gramStart"/>
      <w:r w:rsidRPr="001E6AE5">
        <w:t>et</w:t>
      </w:r>
      <w:proofErr w:type="gramEnd"/>
      <w:r w:rsidRPr="001E6AE5">
        <w:t xml:space="preserve"> </w:t>
      </w:r>
      <w:proofErr w:type="spellStart"/>
      <w:r w:rsidRPr="001E6AE5">
        <w:t>Cosmochimica</w:t>
      </w:r>
      <w:proofErr w:type="spellEnd"/>
      <w:r w:rsidRPr="001E6AE5">
        <w:t xml:space="preserve"> </w:t>
      </w:r>
      <w:proofErr w:type="spellStart"/>
      <w:r w:rsidRPr="001E6AE5">
        <w:t>Acta</w:t>
      </w:r>
      <w:proofErr w:type="spellEnd"/>
      <w:r w:rsidRPr="001E6AE5">
        <w:t>, v. 69, p. 465-473.</w:t>
      </w:r>
    </w:p>
    <w:p w:rsidR="001E6AE5" w:rsidRPr="001E6AE5" w:rsidRDefault="001E6AE5" w:rsidP="00003535">
      <w:pPr>
        <w:pStyle w:val="BodyText"/>
      </w:pPr>
      <w:proofErr w:type="spellStart"/>
      <w:r w:rsidRPr="001E6AE5">
        <w:t>Bahlburg</w:t>
      </w:r>
      <w:proofErr w:type="spellEnd"/>
      <w:r w:rsidRPr="001E6AE5">
        <w:t xml:space="preserve">, H., </w:t>
      </w:r>
      <w:proofErr w:type="spellStart"/>
      <w:r w:rsidRPr="001E6AE5">
        <w:t>Vervoort</w:t>
      </w:r>
      <w:proofErr w:type="spellEnd"/>
      <w:r w:rsidRPr="001E6AE5">
        <w:t xml:space="preserve">, J.D., and </w:t>
      </w:r>
      <w:proofErr w:type="spellStart"/>
      <w:r w:rsidRPr="001E6AE5">
        <w:t>DuFrane</w:t>
      </w:r>
      <w:proofErr w:type="spellEnd"/>
      <w:r w:rsidRPr="001E6AE5">
        <w:t xml:space="preserve">, S.A., 2010, Plate tectonic significance of Middle Cambrian and Ordovician </w:t>
      </w:r>
      <w:proofErr w:type="spellStart"/>
      <w:r w:rsidRPr="001E6AE5">
        <w:t>siliciclastic</w:t>
      </w:r>
      <w:proofErr w:type="spellEnd"/>
      <w:r w:rsidRPr="001E6AE5">
        <w:t xml:space="preserve"> rocks of the Bavarian </w:t>
      </w:r>
      <w:proofErr w:type="spellStart"/>
      <w:r w:rsidRPr="001E6AE5">
        <w:t>facies</w:t>
      </w:r>
      <w:proofErr w:type="spellEnd"/>
      <w:r w:rsidRPr="001E6AE5">
        <w:t xml:space="preserve">, </w:t>
      </w:r>
      <w:proofErr w:type="spellStart"/>
      <w:r w:rsidRPr="001E6AE5">
        <w:t>Armorican</w:t>
      </w:r>
      <w:proofErr w:type="spellEnd"/>
      <w:r w:rsidRPr="001E6AE5">
        <w:t xml:space="preserve"> </w:t>
      </w:r>
      <w:proofErr w:type="spellStart"/>
      <w:r w:rsidRPr="001E6AE5">
        <w:t>terrane</w:t>
      </w:r>
      <w:proofErr w:type="spellEnd"/>
      <w:r w:rsidRPr="001E6AE5">
        <w:t xml:space="preserve"> assemblage, Germany</w:t>
      </w:r>
      <w:r w:rsidR="005977AF">
        <w:t>—</w:t>
      </w:r>
      <w:r w:rsidRPr="001E6AE5">
        <w:t>U-</w:t>
      </w:r>
      <w:proofErr w:type="spellStart"/>
      <w:r w:rsidRPr="001E6AE5">
        <w:t>Pb</w:t>
      </w:r>
      <w:proofErr w:type="spellEnd"/>
      <w:r w:rsidRPr="001E6AE5">
        <w:t xml:space="preserve"> and </w:t>
      </w:r>
      <w:proofErr w:type="spellStart"/>
      <w:r w:rsidRPr="001E6AE5">
        <w:t>Hf</w:t>
      </w:r>
      <w:proofErr w:type="spellEnd"/>
      <w:r w:rsidRPr="001E6AE5">
        <w:t xml:space="preserve"> isotope evidence from detrital zircons: </w:t>
      </w:r>
      <w:proofErr w:type="spellStart"/>
      <w:r w:rsidRPr="001E6AE5">
        <w:t>Gondwana</w:t>
      </w:r>
      <w:proofErr w:type="spellEnd"/>
      <w:r w:rsidRPr="001E6AE5">
        <w:t xml:space="preserve"> Research, v. 17 (2-3), p. 223-235.</w:t>
      </w:r>
    </w:p>
    <w:p w:rsidR="001E6AE5" w:rsidRPr="001E6AE5" w:rsidRDefault="001E6AE5" w:rsidP="00003535">
      <w:pPr>
        <w:pStyle w:val="BodyText"/>
      </w:pPr>
      <w:proofErr w:type="spellStart"/>
      <w:r w:rsidRPr="001E6AE5">
        <w:t>Bouvier</w:t>
      </w:r>
      <w:proofErr w:type="spellEnd"/>
      <w:r w:rsidRPr="001E6AE5">
        <w:t xml:space="preserve">, A., </w:t>
      </w:r>
      <w:proofErr w:type="spellStart"/>
      <w:r w:rsidRPr="001E6AE5">
        <w:t>Vervoort</w:t>
      </w:r>
      <w:proofErr w:type="spellEnd"/>
      <w:r w:rsidRPr="001E6AE5">
        <w:t xml:space="preserve">, J., and </w:t>
      </w:r>
      <w:proofErr w:type="spellStart"/>
      <w:r w:rsidRPr="001E6AE5">
        <w:t>Patchett</w:t>
      </w:r>
      <w:proofErr w:type="spellEnd"/>
      <w:r w:rsidRPr="001E6AE5">
        <w:t>, J., 2008, The Lu-</w:t>
      </w:r>
      <w:proofErr w:type="spellStart"/>
      <w:r w:rsidRPr="001E6AE5">
        <w:t>Hf</w:t>
      </w:r>
      <w:proofErr w:type="spellEnd"/>
      <w:r w:rsidRPr="001E6AE5">
        <w:t xml:space="preserve"> and </w:t>
      </w:r>
      <w:proofErr w:type="spellStart"/>
      <w:r w:rsidRPr="001E6AE5">
        <w:t>Sm-Nd</w:t>
      </w:r>
      <w:proofErr w:type="spellEnd"/>
      <w:r w:rsidRPr="001E6AE5">
        <w:t xml:space="preserve"> isotopic </w:t>
      </w:r>
      <w:proofErr w:type="spellStart"/>
      <w:r w:rsidRPr="001E6AE5">
        <w:t>composiiton</w:t>
      </w:r>
      <w:proofErr w:type="spellEnd"/>
      <w:r w:rsidRPr="001E6AE5">
        <w:t xml:space="preserve"> of CHUR: </w:t>
      </w:r>
      <w:proofErr w:type="spellStart"/>
      <w:r w:rsidRPr="001E6AE5">
        <w:t>Consraints</w:t>
      </w:r>
      <w:proofErr w:type="spellEnd"/>
      <w:r w:rsidRPr="001E6AE5">
        <w:t xml:space="preserve"> from </w:t>
      </w:r>
      <w:proofErr w:type="spellStart"/>
      <w:r w:rsidRPr="001E6AE5">
        <w:t>unequilibrated</w:t>
      </w:r>
      <w:proofErr w:type="spellEnd"/>
      <w:r w:rsidRPr="001E6AE5">
        <w:t xml:space="preserve"> </w:t>
      </w:r>
      <w:proofErr w:type="spellStart"/>
      <w:r w:rsidRPr="001E6AE5">
        <w:t>chondrites</w:t>
      </w:r>
      <w:proofErr w:type="spellEnd"/>
      <w:r w:rsidRPr="001E6AE5">
        <w:t xml:space="preserve"> and implications for the bulk composition of terrestrial planets: Earth and Planetary Science Letters: v. 273, p. 48-57.</w:t>
      </w:r>
    </w:p>
    <w:p w:rsidR="001E6AE5" w:rsidRPr="001E6AE5" w:rsidRDefault="001E6AE5" w:rsidP="00003535">
      <w:pPr>
        <w:pStyle w:val="BodyText"/>
      </w:pPr>
      <w:proofErr w:type="spellStart"/>
      <w:r w:rsidRPr="001E6AE5">
        <w:t>Gehrels</w:t>
      </w:r>
      <w:proofErr w:type="spellEnd"/>
      <w:r w:rsidRPr="001E6AE5">
        <w:t xml:space="preserve">, G. and </w:t>
      </w:r>
      <w:proofErr w:type="spellStart"/>
      <w:r w:rsidRPr="001E6AE5">
        <w:t>Pecha</w:t>
      </w:r>
      <w:proofErr w:type="spellEnd"/>
      <w:r w:rsidRPr="001E6AE5">
        <w:t>, M., 2014, Detrital zircon U-</w:t>
      </w:r>
      <w:proofErr w:type="spellStart"/>
      <w:r w:rsidRPr="001E6AE5">
        <w:t>Pb</w:t>
      </w:r>
      <w:proofErr w:type="spellEnd"/>
      <w:r w:rsidRPr="001E6AE5">
        <w:t xml:space="preserve"> geochronology and </w:t>
      </w:r>
      <w:proofErr w:type="spellStart"/>
      <w:r w:rsidRPr="001E6AE5">
        <w:t>Hf</w:t>
      </w:r>
      <w:proofErr w:type="spellEnd"/>
      <w:r w:rsidRPr="001E6AE5">
        <w:t xml:space="preserve"> isotope geochemistry of Paleozoic and Triassic passive margin strata of western </w:t>
      </w:r>
      <w:proofErr w:type="gramStart"/>
      <w:r w:rsidRPr="001E6AE5">
        <w:t>North</w:t>
      </w:r>
      <w:proofErr w:type="gramEnd"/>
      <w:r w:rsidRPr="001E6AE5">
        <w:t xml:space="preserve"> America: Geosphere, v. 10 (1), p. 49-65.</w:t>
      </w:r>
    </w:p>
    <w:p w:rsidR="001E6AE5" w:rsidRPr="001E6AE5" w:rsidRDefault="001E6AE5" w:rsidP="00003535">
      <w:pPr>
        <w:pStyle w:val="BodyText"/>
      </w:pPr>
      <w:proofErr w:type="spellStart"/>
      <w:r w:rsidRPr="001E6AE5">
        <w:t>Patchett</w:t>
      </w:r>
      <w:proofErr w:type="spellEnd"/>
      <w:r w:rsidRPr="001E6AE5">
        <w:t>, P.J., 1983, Importance of the Lu-</w:t>
      </w:r>
      <w:proofErr w:type="spellStart"/>
      <w:r w:rsidRPr="001E6AE5">
        <w:t>Hf</w:t>
      </w:r>
      <w:proofErr w:type="spellEnd"/>
      <w:r w:rsidRPr="001E6AE5">
        <w:t xml:space="preserve"> isotopic system in studies of planetary chronology and chemical evolution: </w:t>
      </w:r>
      <w:proofErr w:type="spellStart"/>
      <w:r w:rsidRPr="001E6AE5">
        <w:t>Geochimica</w:t>
      </w:r>
      <w:proofErr w:type="spellEnd"/>
      <w:r w:rsidRPr="001E6AE5">
        <w:t xml:space="preserve"> and </w:t>
      </w:r>
      <w:proofErr w:type="spellStart"/>
      <w:r w:rsidRPr="001E6AE5">
        <w:t>Cosmochimica</w:t>
      </w:r>
      <w:proofErr w:type="spellEnd"/>
      <w:r w:rsidRPr="001E6AE5">
        <w:t xml:space="preserve"> </w:t>
      </w:r>
      <w:proofErr w:type="spellStart"/>
      <w:r w:rsidRPr="001E6AE5">
        <w:t>Acta</w:t>
      </w:r>
      <w:proofErr w:type="spellEnd"/>
      <w:r w:rsidRPr="001E6AE5">
        <w:t>, v. 47, p. 81-91.</w:t>
      </w:r>
    </w:p>
    <w:p w:rsidR="001E6AE5" w:rsidRPr="001E6AE5" w:rsidRDefault="001E6AE5" w:rsidP="00003535">
      <w:pPr>
        <w:pStyle w:val="BodyText"/>
      </w:pPr>
      <w:proofErr w:type="spellStart"/>
      <w:r w:rsidRPr="001E6AE5">
        <w:t>Patchett</w:t>
      </w:r>
      <w:proofErr w:type="spellEnd"/>
      <w:r w:rsidRPr="001E6AE5">
        <w:t xml:space="preserve">, P.J., and </w:t>
      </w:r>
      <w:proofErr w:type="spellStart"/>
      <w:r w:rsidRPr="001E6AE5">
        <w:t>Tatsumoto</w:t>
      </w:r>
      <w:proofErr w:type="spellEnd"/>
      <w:r w:rsidRPr="001E6AE5">
        <w:t>, M., 1980, A routine high-precision method for Lu-</w:t>
      </w:r>
      <w:proofErr w:type="spellStart"/>
      <w:r w:rsidRPr="001E6AE5">
        <w:t>Hf</w:t>
      </w:r>
      <w:proofErr w:type="spellEnd"/>
      <w:r w:rsidRPr="001E6AE5">
        <w:t xml:space="preserve"> isotope geochemistry and chronology: Contributions to Mineralogy and Petrology, v. 75, 263-267.</w:t>
      </w:r>
    </w:p>
    <w:p w:rsidR="001E6AE5" w:rsidRPr="001E6AE5" w:rsidRDefault="001E6AE5" w:rsidP="00003535">
      <w:pPr>
        <w:pStyle w:val="BodyText"/>
      </w:pPr>
      <w:r w:rsidRPr="001E6AE5">
        <w:t xml:space="preserve">Scherer, E., </w:t>
      </w:r>
      <w:proofErr w:type="spellStart"/>
      <w:r w:rsidRPr="001E6AE5">
        <w:t>Münker</w:t>
      </w:r>
      <w:proofErr w:type="spellEnd"/>
      <w:r w:rsidRPr="001E6AE5">
        <w:t xml:space="preserve">, C., and </w:t>
      </w:r>
      <w:proofErr w:type="spellStart"/>
      <w:r w:rsidRPr="001E6AE5">
        <w:t>Mezger</w:t>
      </w:r>
      <w:proofErr w:type="spellEnd"/>
      <w:r w:rsidRPr="001E6AE5">
        <w:t>, K., 2001, Calibration of the Lutetium-Hafnium Clock: Science, v</w:t>
      </w:r>
      <w:proofErr w:type="gramStart"/>
      <w:r w:rsidRPr="001E6AE5">
        <w:t>. ,</w:t>
      </w:r>
      <w:proofErr w:type="gramEnd"/>
      <w:r w:rsidRPr="001E6AE5">
        <w:t xml:space="preserve"> p. 683–687.</w:t>
      </w:r>
    </w:p>
    <w:p w:rsidR="001E6AE5" w:rsidRPr="001E6AE5" w:rsidRDefault="001E6AE5" w:rsidP="00003535">
      <w:pPr>
        <w:pStyle w:val="BodyText"/>
      </w:pPr>
      <w:proofErr w:type="spellStart"/>
      <w:r w:rsidRPr="001E6AE5">
        <w:t>Söderlund</w:t>
      </w:r>
      <w:proofErr w:type="spellEnd"/>
      <w:r w:rsidRPr="001E6AE5">
        <w:t xml:space="preserve">, U., </w:t>
      </w:r>
      <w:proofErr w:type="spellStart"/>
      <w:r w:rsidRPr="001E6AE5">
        <w:t>Patchett</w:t>
      </w:r>
      <w:proofErr w:type="spellEnd"/>
      <w:r w:rsidRPr="001E6AE5">
        <w:t xml:space="preserve">, P.J., </w:t>
      </w:r>
      <w:proofErr w:type="spellStart"/>
      <w:r w:rsidRPr="001E6AE5">
        <w:t>Vervoort</w:t>
      </w:r>
      <w:proofErr w:type="spellEnd"/>
      <w:r w:rsidRPr="001E6AE5">
        <w:t xml:space="preserve">, J.D., and </w:t>
      </w:r>
      <w:proofErr w:type="spellStart"/>
      <w:r w:rsidRPr="001E6AE5">
        <w:t>Isachsen</w:t>
      </w:r>
      <w:proofErr w:type="spellEnd"/>
      <w:r w:rsidRPr="001E6AE5">
        <w:t>, C.E., 2004, The 176Lu decay constant determined by Lu-</w:t>
      </w:r>
      <w:proofErr w:type="spellStart"/>
      <w:r w:rsidRPr="001E6AE5">
        <w:t>Hf</w:t>
      </w:r>
      <w:proofErr w:type="spellEnd"/>
      <w:r w:rsidRPr="001E6AE5">
        <w:t xml:space="preserve"> and U-</w:t>
      </w:r>
      <w:proofErr w:type="spellStart"/>
      <w:r w:rsidRPr="001E6AE5">
        <w:t>Pb</w:t>
      </w:r>
      <w:proofErr w:type="spellEnd"/>
      <w:r w:rsidRPr="001E6AE5">
        <w:t xml:space="preserve"> isotope systematics of Precambrian mafic intrusions: Earth and Planetary Science Letters, v. 219, p. 311-324.</w:t>
      </w:r>
    </w:p>
    <w:p w:rsidR="001E6AE5" w:rsidRPr="001E6AE5" w:rsidRDefault="001E6AE5" w:rsidP="00003535">
      <w:pPr>
        <w:pStyle w:val="BodyText"/>
      </w:pPr>
      <w:proofErr w:type="spellStart"/>
      <w:r w:rsidRPr="001E6AE5">
        <w:t>Vervoort</w:t>
      </w:r>
      <w:proofErr w:type="spellEnd"/>
      <w:r w:rsidRPr="001E6AE5">
        <w:t xml:space="preserve">, J.D., and </w:t>
      </w:r>
      <w:proofErr w:type="spellStart"/>
      <w:r w:rsidRPr="001E6AE5">
        <w:t>Patchett</w:t>
      </w:r>
      <w:proofErr w:type="spellEnd"/>
      <w:r w:rsidRPr="001E6AE5">
        <w:t xml:space="preserve">, P.J., 1996, Behavior of hafnium and neodymium isotopes in the crust: constraints from Precambrian </w:t>
      </w:r>
      <w:proofErr w:type="spellStart"/>
      <w:r w:rsidRPr="001E6AE5">
        <w:t>crustally</w:t>
      </w:r>
      <w:proofErr w:type="spellEnd"/>
      <w:r w:rsidRPr="001E6AE5">
        <w:t xml:space="preserve"> derived granites: </w:t>
      </w:r>
      <w:proofErr w:type="spellStart"/>
      <w:r w:rsidRPr="001E6AE5">
        <w:t>Geochimica</w:t>
      </w:r>
      <w:proofErr w:type="spellEnd"/>
      <w:r w:rsidRPr="001E6AE5">
        <w:t xml:space="preserve"> </w:t>
      </w:r>
      <w:proofErr w:type="gramStart"/>
      <w:r w:rsidRPr="001E6AE5">
        <w:t>et</w:t>
      </w:r>
      <w:proofErr w:type="gramEnd"/>
      <w:r w:rsidRPr="001E6AE5">
        <w:t xml:space="preserve"> </w:t>
      </w:r>
      <w:proofErr w:type="spellStart"/>
      <w:r w:rsidRPr="001E6AE5">
        <w:t>Cosmochimica</w:t>
      </w:r>
      <w:proofErr w:type="spellEnd"/>
      <w:r w:rsidRPr="001E6AE5">
        <w:t xml:space="preserve"> </w:t>
      </w:r>
      <w:proofErr w:type="spellStart"/>
      <w:r w:rsidRPr="001E6AE5">
        <w:t>Acta</w:t>
      </w:r>
      <w:proofErr w:type="spellEnd"/>
      <w:r w:rsidRPr="001E6AE5">
        <w:t>, v. 60, p. 3717-3723</w:t>
      </w:r>
    </w:p>
    <w:p w:rsidR="001E6AE5" w:rsidRPr="001E6AE5" w:rsidRDefault="001E6AE5" w:rsidP="00003535">
      <w:pPr>
        <w:pStyle w:val="BodyText"/>
      </w:pPr>
      <w:proofErr w:type="spellStart"/>
      <w:r w:rsidRPr="001E6AE5">
        <w:t>Vervoort</w:t>
      </w:r>
      <w:proofErr w:type="spellEnd"/>
      <w:r w:rsidRPr="001E6AE5">
        <w:t xml:space="preserve">, J. D., and </w:t>
      </w:r>
      <w:proofErr w:type="spellStart"/>
      <w:r w:rsidRPr="001E6AE5">
        <w:t>Blichert-Toft</w:t>
      </w:r>
      <w:proofErr w:type="spellEnd"/>
      <w:r w:rsidRPr="001E6AE5">
        <w:t xml:space="preserve">, J., 1999, Evolution of the depleted mantle: </w:t>
      </w:r>
      <w:proofErr w:type="spellStart"/>
      <w:r w:rsidRPr="001E6AE5">
        <w:t>Hf</w:t>
      </w:r>
      <w:proofErr w:type="spellEnd"/>
      <w:r w:rsidRPr="001E6AE5">
        <w:t xml:space="preserve"> isotope evidence from juvenile rocks through time: </w:t>
      </w:r>
      <w:proofErr w:type="spellStart"/>
      <w:r w:rsidRPr="001E6AE5">
        <w:t>Geochimica</w:t>
      </w:r>
      <w:proofErr w:type="spellEnd"/>
      <w:r w:rsidRPr="001E6AE5">
        <w:t xml:space="preserve"> </w:t>
      </w:r>
      <w:proofErr w:type="gramStart"/>
      <w:r w:rsidRPr="001E6AE5">
        <w:t>et</w:t>
      </w:r>
      <w:proofErr w:type="gramEnd"/>
      <w:r w:rsidRPr="001E6AE5">
        <w:t xml:space="preserve"> </w:t>
      </w:r>
      <w:proofErr w:type="spellStart"/>
      <w:r w:rsidRPr="001E6AE5">
        <w:t>Cosmochimica</w:t>
      </w:r>
      <w:proofErr w:type="spellEnd"/>
      <w:r w:rsidRPr="001E6AE5">
        <w:t xml:space="preserve"> </w:t>
      </w:r>
      <w:proofErr w:type="spellStart"/>
      <w:r w:rsidRPr="001E6AE5">
        <w:t>Acta</w:t>
      </w:r>
      <w:proofErr w:type="spellEnd"/>
      <w:r w:rsidRPr="001E6AE5">
        <w:t>, v. 63, p. 533–556.</w:t>
      </w:r>
    </w:p>
    <w:p w:rsidR="001E6AE5" w:rsidRPr="001E6AE5" w:rsidRDefault="001E6AE5" w:rsidP="00003535">
      <w:pPr>
        <w:pStyle w:val="BodyText"/>
      </w:pPr>
      <w:proofErr w:type="spellStart"/>
      <w:r w:rsidRPr="001E6AE5">
        <w:t>Vervoort</w:t>
      </w:r>
      <w:proofErr w:type="spellEnd"/>
      <w:r w:rsidRPr="001E6AE5">
        <w:t xml:space="preserve">, J.D., </w:t>
      </w:r>
      <w:proofErr w:type="spellStart"/>
      <w:r w:rsidRPr="001E6AE5">
        <w:t>Patchett</w:t>
      </w:r>
      <w:proofErr w:type="spellEnd"/>
      <w:r w:rsidRPr="001E6AE5">
        <w:t xml:space="preserve">, P.J., </w:t>
      </w:r>
      <w:proofErr w:type="spellStart"/>
      <w:r w:rsidRPr="001E6AE5">
        <w:t>Blichert-Toft</w:t>
      </w:r>
      <w:proofErr w:type="spellEnd"/>
      <w:r w:rsidRPr="001E6AE5">
        <w:t xml:space="preserve">, J., and </w:t>
      </w:r>
      <w:proofErr w:type="spellStart"/>
      <w:r w:rsidRPr="001E6AE5">
        <w:t>Albarede</w:t>
      </w:r>
      <w:proofErr w:type="spellEnd"/>
      <w:r w:rsidRPr="001E6AE5">
        <w:t>, F., 1999, Relationships between Lu-</w:t>
      </w:r>
      <w:proofErr w:type="spellStart"/>
      <w:r w:rsidRPr="001E6AE5">
        <w:t>Hf</w:t>
      </w:r>
      <w:proofErr w:type="spellEnd"/>
      <w:r w:rsidRPr="001E6AE5">
        <w:t xml:space="preserve"> and </w:t>
      </w:r>
      <w:proofErr w:type="spellStart"/>
      <w:r w:rsidRPr="001E6AE5">
        <w:t>Sm-Nd</w:t>
      </w:r>
      <w:proofErr w:type="spellEnd"/>
      <w:r w:rsidRPr="001E6AE5">
        <w:t xml:space="preserve"> isotopic systems in the global sedimentary system: Earth and Planetary Science Letters, v. 168, p. 79-99.</w:t>
      </w:r>
    </w:p>
    <w:p w:rsidR="001E6AE5" w:rsidRPr="001E6AE5" w:rsidRDefault="001E6AE5" w:rsidP="00003535">
      <w:pPr>
        <w:pStyle w:val="BodyText"/>
      </w:pPr>
      <w:proofErr w:type="spellStart"/>
      <w:r w:rsidRPr="001E6AE5">
        <w:t>Vervoort</w:t>
      </w:r>
      <w:proofErr w:type="spellEnd"/>
      <w:r w:rsidRPr="001E6AE5">
        <w:t xml:space="preserve">, J.D., </w:t>
      </w:r>
      <w:proofErr w:type="spellStart"/>
      <w:r w:rsidRPr="001E6AE5">
        <w:t>Patchett</w:t>
      </w:r>
      <w:proofErr w:type="spellEnd"/>
      <w:r w:rsidRPr="001E6AE5">
        <w:t xml:space="preserve">, P.J., </w:t>
      </w:r>
      <w:proofErr w:type="spellStart"/>
      <w:r w:rsidRPr="001E6AE5">
        <w:t>Soderlund</w:t>
      </w:r>
      <w:proofErr w:type="spellEnd"/>
      <w:r w:rsidRPr="001E6AE5">
        <w:t xml:space="preserve">, U., and Baker, M., 2004, </w:t>
      </w:r>
      <w:proofErr w:type="gramStart"/>
      <w:r w:rsidRPr="001E6AE5">
        <w:t>Isotopic</w:t>
      </w:r>
      <w:proofErr w:type="gramEnd"/>
      <w:r w:rsidRPr="001E6AE5">
        <w:t xml:space="preserve"> composition of </w:t>
      </w:r>
      <w:proofErr w:type="spellStart"/>
      <w:r w:rsidRPr="001E6AE5">
        <w:t>Yb</w:t>
      </w:r>
      <w:proofErr w:type="spellEnd"/>
      <w:r w:rsidRPr="001E6AE5">
        <w:t xml:space="preserve"> and the determination of Lu concentrations and Lu/</w:t>
      </w:r>
      <w:proofErr w:type="spellStart"/>
      <w:r w:rsidRPr="001E6AE5">
        <w:t>Hf</w:t>
      </w:r>
      <w:proofErr w:type="spellEnd"/>
      <w:r w:rsidRPr="001E6AE5">
        <w:t xml:space="preserve"> ratios by isotope dilution using MC-ICPMS: Geochemistry Geophysics </w:t>
      </w:r>
      <w:proofErr w:type="spellStart"/>
      <w:r w:rsidRPr="001E6AE5">
        <w:t>Geosystems</w:t>
      </w:r>
      <w:proofErr w:type="spellEnd"/>
      <w:r w:rsidRPr="001E6AE5">
        <w:t>, v. 5, Q11002. (</w:t>
      </w:r>
      <w:proofErr w:type="gramStart"/>
      <w:r w:rsidRPr="001E6AE5">
        <w:t>doi:10.1029</w:t>
      </w:r>
      <w:proofErr w:type="gramEnd"/>
      <w:r w:rsidRPr="001E6AE5">
        <w:t>/2004GC000721)</w:t>
      </w:r>
    </w:p>
    <w:p w:rsidR="001E6AE5" w:rsidRPr="001E6AE5" w:rsidRDefault="001E6AE5" w:rsidP="00003535">
      <w:pPr>
        <w:pStyle w:val="BodyText"/>
      </w:pPr>
      <w:proofErr w:type="spellStart"/>
      <w:r w:rsidRPr="001E6AE5">
        <w:t>Vervoort</w:t>
      </w:r>
      <w:proofErr w:type="spellEnd"/>
      <w:r w:rsidRPr="001E6AE5">
        <w:t xml:space="preserve">, J.D., 2010, </w:t>
      </w:r>
      <w:proofErr w:type="spellStart"/>
      <w:r w:rsidRPr="001E6AE5">
        <w:t>Hf</w:t>
      </w:r>
      <w:proofErr w:type="spellEnd"/>
      <w:r w:rsidRPr="001E6AE5">
        <w:t xml:space="preserve"> analysis in zircon by LA-MC-ICPMS: Promise and pitfalls: Geological Society of America Abstracts with Programs, v. 42 (5), p. 667.</w:t>
      </w:r>
    </w:p>
    <w:p w:rsidR="001E6AE5" w:rsidRPr="001E6AE5" w:rsidRDefault="001E6AE5" w:rsidP="00003535">
      <w:pPr>
        <w:pStyle w:val="BodyText"/>
      </w:pPr>
      <w:proofErr w:type="spellStart"/>
      <w:r w:rsidRPr="001E6AE5">
        <w:t>Wieser</w:t>
      </w:r>
      <w:proofErr w:type="spellEnd"/>
      <w:r w:rsidRPr="001E6AE5">
        <w:t xml:space="preserve">, M.E., 2006, Atomic weights of the elements 2005 (IUPAC Technical Report): Pure and Applied Chemistry, v. 78 (11), p. 2051–2066. </w:t>
      </w:r>
      <w:proofErr w:type="gramStart"/>
      <w:r w:rsidRPr="001E6AE5">
        <w:t>doi:10.1351</w:t>
      </w:r>
      <w:proofErr w:type="gramEnd"/>
      <w:r w:rsidRPr="001E6AE5">
        <w:t>/pac200678112051</w:t>
      </w:r>
    </w:p>
    <w:p w:rsidR="001E6AE5" w:rsidRPr="001E6AE5" w:rsidRDefault="001E6AE5" w:rsidP="00003535">
      <w:pPr>
        <w:pStyle w:val="BodyText"/>
      </w:pPr>
      <w:proofErr w:type="spellStart"/>
      <w:r w:rsidRPr="001E6AE5">
        <w:t>Woodhead</w:t>
      </w:r>
      <w:proofErr w:type="spellEnd"/>
      <w:r w:rsidRPr="001E6AE5">
        <w:t xml:space="preserve">, J., </w:t>
      </w:r>
      <w:proofErr w:type="spellStart"/>
      <w:r w:rsidRPr="001E6AE5">
        <w:t>Hergt</w:t>
      </w:r>
      <w:proofErr w:type="spellEnd"/>
      <w:r w:rsidRPr="001E6AE5">
        <w:t xml:space="preserve">, J., Shelley, M., </w:t>
      </w:r>
      <w:proofErr w:type="spellStart"/>
      <w:r w:rsidRPr="001E6AE5">
        <w:t>Eggins</w:t>
      </w:r>
      <w:proofErr w:type="spellEnd"/>
      <w:r w:rsidRPr="001E6AE5">
        <w:t xml:space="preserve">, S., and Kemp, R., 2004, Zircon </w:t>
      </w:r>
      <w:proofErr w:type="spellStart"/>
      <w:r w:rsidRPr="001E6AE5">
        <w:t>Hf</w:t>
      </w:r>
      <w:proofErr w:type="spellEnd"/>
      <w:r w:rsidRPr="001E6AE5">
        <w:t xml:space="preserve">-isotope analysis with an </w:t>
      </w:r>
      <w:proofErr w:type="spellStart"/>
      <w:r w:rsidRPr="001E6AE5">
        <w:t>excimer</w:t>
      </w:r>
      <w:proofErr w:type="spellEnd"/>
      <w:r w:rsidRPr="001E6AE5">
        <w:t xml:space="preserve"> laser, depth profiling, ablation of complex geometries, and concomitant age estimation: Chemical Geology, v. 209, p. 121-135.</w:t>
      </w:r>
    </w:p>
    <w:p w:rsidR="001E6AE5" w:rsidRPr="001E6AE5" w:rsidRDefault="001E6AE5" w:rsidP="00003535">
      <w:pPr>
        <w:pStyle w:val="BodyText"/>
      </w:pPr>
      <w:proofErr w:type="spellStart"/>
      <w:r w:rsidRPr="001E6AE5">
        <w:t>Woodhead</w:t>
      </w:r>
      <w:proofErr w:type="spellEnd"/>
      <w:r w:rsidRPr="001E6AE5">
        <w:t xml:space="preserve">, J.D., and </w:t>
      </w:r>
      <w:proofErr w:type="spellStart"/>
      <w:r w:rsidRPr="001E6AE5">
        <w:t>Hergt</w:t>
      </w:r>
      <w:proofErr w:type="spellEnd"/>
      <w:r w:rsidRPr="001E6AE5">
        <w:t xml:space="preserve">, J.M., 2004, A preliminary appraisal of seven natural zircon reference materials for in situ </w:t>
      </w:r>
      <w:proofErr w:type="spellStart"/>
      <w:r w:rsidRPr="001E6AE5">
        <w:t>Hf</w:t>
      </w:r>
      <w:proofErr w:type="spellEnd"/>
      <w:r w:rsidRPr="001E6AE5">
        <w:t xml:space="preserve"> isotope determination: </w:t>
      </w:r>
      <w:proofErr w:type="spellStart"/>
      <w:r w:rsidRPr="001E6AE5">
        <w:t>Geostandards</w:t>
      </w:r>
      <w:proofErr w:type="spellEnd"/>
      <w:r w:rsidRPr="001E6AE5">
        <w:t xml:space="preserve"> and </w:t>
      </w:r>
      <w:proofErr w:type="spellStart"/>
      <w:r w:rsidRPr="001E6AE5">
        <w:t>Geoanalytical</w:t>
      </w:r>
      <w:proofErr w:type="spellEnd"/>
      <w:r w:rsidRPr="001E6AE5">
        <w:t xml:space="preserve"> Research, v. 29 (2), p. 183-195.</w:t>
      </w:r>
    </w:p>
    <w:p w:rsidR="00915DD8" w:rsidRPr="001E6AE5" w:rsidRDefault="00915DD8" w:rsidP="002B74A9">
      <w:pPr>
        <w:ind w:right="2340"/>
        <w:rPr>
          <w:rFonts w:ascii="Arial" w:hAnsi="Arial" w:cs="Arial"/>
        </w:rPr>
      </w:pPr>
    </w:p>
    <w:p w:rsidR="009657AE" w:rsidRDefault="009657AE">
      <w:r>
        <w:br w:type="page"/>
      </w:r>
      <w:r w:rsidR="005977AF" w:rsidRPr="001E6AE5">
        <w:rPr>
          <w:rFonts w:ascii="Arial" w:hAnsi="Arial" w:cs="Arial"/>
          <w:b/>
          <w:bCs/>
          <w:color w:val="000000"/>
        </w:rPr>
        <w:lastRenderedPageBreak/>
        <w:t xml:space="preserve">Table B.  </w:t>
      </w:r>
      <w:proofErr w:type="spellStart"/>
      <w:r w:rsidR="005977AF" w:rsidRPr="001E6AE5">
        <w:rPr>
          <w:rFonts w:ascii="Arial" w:hAnsi="Arial" w:cs="Arial"/>
          <w:b/>
          <w:bCs/>
          <w:color w:val="000000"/>
        </w:rPr>
        <w:t>Hf</w:t>
      </w:r>
      <w:proofErr w:type="spellEnd"/>
      <w:r w:rsidR="005977AF" w:rsidRPr="001E6AE5">
        <w:rPr>
          <w:rFonts w:ascii="Arial" w:hAnsi="Arial" w:cs="Arial"/>
          <w:b/>
          <w:bCs/>
          <w:color w:val="000000"/>
        </w:rPr>
        <w:t xml:space="preserve"> isotopic data from the Chugach-Prince William </w:t>
      </w:r>
      <w:proofErr w:type="spellStart"/>
      <w:r w:rsidR="005977AF" w:rsidRPr="001E6AE5">
        <w:rPr>
          <w:rFonts w:ascii="Arial" w:hAnsi="Arial" w:cs="Arial"/>
          <w:b/>
          <w:bCs/>
          <w:color w:val="000000"/>
        </w:rPr>
        <w:t>terrane</w:t>
      </w:r>
      <w:proofErr w:type="spellEnd"/>
      <w:r w:rsidR="005977AF" w:rsidRPr="001E6AE5">
        <w:rPr>
          <w:rFonts w:ascii="Arial" w:hAnsi="Arial" w:cs="Arial"/>
          <w:b/>
          <w:bCs/>
          <w:color w:val="000000"/>
        </w:rPr>
        <w:t>, Alaska</w:t>
      </w:r>
    </w:p>
    <w:tbl>
      <w:tblPr>
        <w:tblW w:w="10530" w:type="dxa"/>
        <w:tblInd w:w="54" w:type="dxa"/>
        <w:tblLayout w:type="fixed"/>
        <w:tblCellMar>
          <w:left w:w="54" w:type="dxa"/>
          <w:right w:w="54" w:type="dxa"/>
        </w:tblCellMar>
        <w:tblLook w:val="0000" w:firstRow="0" w:lastRow="0" w:firstColumn="0" w:lastColumn="0" w:noHBand="0" w:noVBand="0"/>
      </w:tblPr>
      <w:tblGrid>
        <w:gridCol w:w="1530"/>
        <w:gridCol w:w="1260"/>
        <w:gridCol w:w="540"/>
        <w:gridCol w:w="900"/>
        <w:gridCol w:w="1080"/>
        <w:gridCol w:w="990"/>
        <w:gridCol w:w="1170"/>
        <w:gridCol w:w="810"/>
        <w:gridCol w:w="810"/>
        <w:gridCol w:w="720"/>
        <w:gridCol w:w="720"/>
      </w:tblGrid>
      <w:tr w:rsidR="00003D01" w:rsidRPr="00003D01" w:rsidTr="00003535">
        <w:trPr>
          <w:trHeight w:val="488"/>
          <w:tblHeader/>
        </w:trPr>
        <w:tc>
          <w:tcPr>
            <w:tcW w:w="1530" w:type="dxa"/>
            <w:tcBorders>
              <w:top w:val="double" w:sz="6" w:space="0" w:color="auto"/>
              <w:left w:val="nil"/>
              <w:bottom w:val="single" w:sz="6" w:space="0" w:color="auto"/>
              <w:right w:val="nil"/>
            </w:tcBorders>
          </w:tcPr>
          <w:p w:rsidR="00294A62" w:rsidRPr="00003D01" w:rsidRDefault="00294A62" w:rsidP="002112F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Sample</w:t>
            </w:r>
          </w:p>
        </w:tc>
        <w:tc>
          <w:tcPr>
            <w:tcW w:w="1260" w:type="dxa"/>
            <w:tcBorders>
              <w:top w:val="double" w:sz="6" w:space="0" w:color="auto"/>
              <w:left w:val="nil"/>
              <w:bottom w:val="single" w:sz="6" w:space="0" w:color="auto"/>
              <w:right w:val="nil"/>
            </w:tcBorders>
          </w:tcPr>
          <w:p w:rsidR="005977AF" w:rsidRDefault="00294A62" w:rsidP="005977AF">
            <w:pPr>
              <w:widowControl w:val="0"/>
              <w:autoSpaceDE w:val="0"/>
              <w:autoSpaceDN w:val="0"/>
              <w:adjustRightInd w:val="0"/>
              <w:jc w:val="center"/>
              <w:rPr>
                <w:rFonts w:ascii="Arial" w:hAnsi="Arial" w:cs="Arial"/>
                <w:color w:val="000000"/>
                <w:sz w:val="18"/>
                <w:szCs w:val="18"/>
              </w:rPr>
            </w:pPr>
            <w:r w:rsidRPr="005977AF">
              <w:rPr>
                <w:rFonts w:ascii="Arial" w:hAnsi="Arial" w:cs="Arial"/>
                <w:color w:val="000000"/>
                <w:sz w:val="18"/>
                <w:szCs w:val="18"/>
                <w:u w:val="single"/>
              </w:rPr>
              <w:t>(</w:t>
            </w:r>
            <w:r w:rsidRPr="005977AF">
              <w:rPr>
                <w:rFonts w:ascii="Arial" w:hAnsi="Arial" w:cs="Arial"/>
                <w:color w:val="000000"/>
                <w:sz w:val="18"/>
                <w:szCs w:val="18"/>
                <w:u w:val="single"/>
                <w:vertAlign w:val="superscript"/>
              </w:rPr>
              <w:t>176</w:t>
            </w:r>
            <w:r w:rsidRPr="005977AF">
              <w:rPr>
                <w:rFonts w:ascii="Arial" w:hAnsi="Arial" w:cs="Arial"/>
                <w:color w:val="000000"/>
                <w:sz w:val="18"/>
                <w:szCs w:val="18"/>
                <w:u w:val="single"/>
              </w:rPr>
              <w:t xml:space="preserve">Yb + </w:t>
            </w:r>
            <w:r w:rsidRPr="005977AF">
              <w:rPr>
                <w:rFonts w:ascii="Arial" w:hAnsi="Arial" w:cs="Arial"/>
                <w:color w:val="000000"/>
                <w:sz w:val="18"/>
                <w:szCs w:val="18"/>
                <w:u w:val="single"/>
                <w:vertAlign w:val="superscript"/>
              </w:rPr>
              <w:t>176</w:t>
            </w:r>
            <w:r w:rsidR="005977AF" w:rsidRPr="005977AF">
              <w:rPr>
                <w:rFonts w:ascii="Arial" w:hAnsi="Arial" w:cs="Arial"/>
                <w:color w:val="000000"/>
                <w:sz w:val="18"/>
                <w:szCs w:val="18"/>
                <w:u w:val="single"/>
              </w:rPr>
              <w:t>Lu)</w:t>
            </w:r>
            <w:r w:rsidR="005977AF">
              <w:rPr>
                <w:rFonts w:ascii="Arial" w:hAnsi="Arial" w:cs="Arial"/>
                <w:color w:val="000000"/>
                <w:sz w:val="18"/>
                <w:szCs w:val="18"/>
              </w:rPr>
              <w:t xml:space="preserve"> </w:t>
            </w:r>
            <w:r w:rsidR="005977AF">
              <w:rPr>
                <w:rFonts w:ascii="Arial" w:hAnsi="Arial" w:cs="Arial"/>
                <w:color w:val="000000"/>
                <w:sz w:val="18"/>
                <w:szCs w:val="18"/>
                <w:vertAlign w:val="superscript"/>
              </w:rPr>
              <w:t>1</w:t>
            </w:r>
            <w:r w:rsidRPr="00003D01">
              <w:rPr>
                <w:rFonts w:ascii="Arial" w:hAnsi="Arial" w:cs="Arial"/>
                <w:color w:val="000000"/>
                <w:sz w:val="18"/>
                <w:szCs w:val="18"/>
                <w:vertAlign w:val="superscript"/>
              </w:rPr>
              <w:t>76</w:t>
            </w:r>
            <w:r w:rsidRPr="00003D01">
              <w:rPr>
                <w:rFonts w:ascii="Arial" w:hAnsi="Arial" w:cs="Arial"/>
                <w:color w:val="000000"/>
                <w:sz w:val="18"/>
                <w:szCs w:val="18"/>
              </w:rPr>
              <w:t>Hf</w:t>
            </w:r>
          </w:p>
          <w:p w:rsidR="00294A62" w:rsidRPr="00003D01" w:rsidRDefault="00294A62" w:rsidP="005977AF">
            <w:pPr>
              <w:widowControl w:val="0"/>
              <w:autoSpaceDE w:val="0"/>
              <w:autoSpaceDN w:val="0"/>
              <w:adjustRightInd w:val="0"/>
              <w:jc w:val="center"/>
              <w:rPr>
                <w:rFonts w:ascii="Arial" w:hAnsi="Arial" w:cs="Arial"/>
                <w:color w:val="000000"/>
                <w:sz w:val="18"/>
                <w:szCs w:val="18"/>
              </w:rPr>
            </w:pPr>
            <w:r w:rsidRPr="00003D01">
              <w:rPr>
                <w:rFonts w:ascii="Arial" w:hAnsi="Arial" w:cs="Arial"/>
                <w:color w:val="000000"/>
                <w:sz w:val="18"/>
                <w:szCs w:val="18"/>
              </w:rPr>
              <w:t>(%)</w:t>
            </w:r>
          </w:p>
        </w:tc>
        <w:tc>
          <w:tcPr>
            <w:tcW w:w="540" w:type="dxa"/>
            <w:tcBorders>
              <w:top w:val="double" w:sz="6" w:space="0" w:color="auto"/>
              <w:left w:val="nil"/>
              <w:bottom w:val="single" w:sz="6" w:space="0" w:color="auto"/>
              <w:right w:val="nil"/>
            </w:tcBorders>
          </w:tcPr>
          <w:p w:rsidR="00294A62" w:rsidRPr="00003D01" w:rsidRDefault="00294A62" w:rsidP="005977AF">
            <w:pPr>
              <w:widowControl w:val="0"/>
              <w:autoSpaceDE w:val="0"/>
              <w:autoSpaceDN w:val="0"/>
              <w:adjustRightInd w:val="0"/>
              <w:jc w:val="center"/>
              <w:rPr>
                <w:rFonts w:ascii="Arial" w:hAnsi="Arial" w:cs="Arial"/>
                <w:color w:val="000000"/>
                <w:sz w:val="18"/>
                <w:szCs w:val="18"/>
              </w:rPr>
            </w:pPr>
            <w:r w:rsidRPr="00003D01">
              <w:rPr>
                <w:rFonts w:ascii="Arial" w:hAnsi="Arial" w:cs="Arial"/>
                <w:color w:val="000000"/>
                <w:sz w:val="18"/>
                <w:szCs w:val="18"/>
              </w:rPr>
              <w:t xml:space="preserve">Volts </w:t>
            </w:r>
            <w:proofErr w:type="spellStart"/>
            <w:r w:rsidRPr="00003D01">
              <w:rPr>
                <w:rFonts w:ascii="Arial" w:hAnsi="Arial" w:cs="Arial"/>
                <w:color w:val="000000"/>
                <w:sz w:val="18"/>
                <w:szCs w:val="18"/>
              </w:rPr>
              <w:t>Hf</w:t>
            </w:r>
            <w:proofErr w:type="spellEnd"/>
          </w:p>
        </w:tc>
        <w:tc>
          <w:tcPr>
            <w:tcW w:w="900" w:type="dxa"/>
            <w:tcBorders>
              <w:top w:val="double" w:sz="6" w:space="0" w:color="auto"/>
              <w:left w:val="nil"/>
              <w:bottom w:val="single" w:sz="6" w:space="0" w:color="auto"/>
              <w:right w:val="nil"/>
            </w:tcBorders>
          </w:tcPr>
          <w:p w:rsidR="005977AF" w:rsidRDefault="00294A62" w:rsidP="005977AF">
            <w:pPr>
              <w:widowControl w:val="0"/>
              <w:autoSpaceDE w:val="0"/>
              <w:autoSpaceDN w:val="0"/>
              <w:adjustRightInd w:val="0"/>
              <w:jc w:val="center"/>
              <w:rPr>
                <w:rFonts w:ascii="Arial" w:hAnsi="Arial" w:cs="Arial"/>
                <w:color w:val="000000"/>
                <w:sz w:val="18"/>
                <w:szCs w:val="18"/>
              </w:rPr>
            </w:pPr>
            <w:r w:rsidRPr="00003D01">
              <w:rPr>
                <w:rFonts w:ascii="Arial" w:hAnsi="Arial" w:cs="Arial"/>
                <w:color w:val="000000"/>
                <w:sz w:val="18"/>
                <w:szCs w:val="18"/>
                <w:vertAlign w:val="superscript"/>
              </w:rPr>
              <w:t>1</w:t>
            </w:r>
            <w:r w:rsidRPr="005977AF">
              <w:rPr>
                <w:rFonts w:ascii="Arial" w:hAnsi="Arial" w:cs="Arial"/>
                <w:color w:val="000000"/>
                <w:sz w:val="18"/>
                <w:szCs w:val="18"/>
                <w:u w:val="single"/>
                <w:vertAlign w:val="superscript"/>
              </w:rPr>
              <w:t>76</w:t>
            </w:r>
            <w:r w:rsidR="005977AF" w:rsidRPr="005977AF">
              <w:rPr>
                <w:rFonts w:ascii="Arial" w:hAnsi="Arial" w:cs="Arial"/>
                <w:color w:val="000000"/>
                <w:sz w:val="18"/>
                <w:szCs w:val="18"/>
                <w:u w:val="single"/>
              </w:rPr>
              <w:t>Hf</w:t>
            </w:r>
          </w:p>
          <w:p w:rsidR="00294A62" w:rsidRPr="00003D01" w:rsidRDefault="00294A62" w:rsidP="005977AF">
            <w:pPr>
              <w:widowControl w:val="0"/>
              <w:autoSpaceDE w:val="0"/>
              <w:autoSpaceDN w:val="0"/>
              <w:adjustRightInd w:val="0"/>
              <w:jc w:val="center"/>
              <w:rPr>
                <w:rFonts w:ascii="Arial" w:hAnsi="Arial" w:cs="Arial"/>
                <w:color w:val="000000"/>
                <w:sz w:val="18"/>
                <w:szCs w:val="18"/>
              </w:rPr>
            </w:pPr>
            <w:r w:rsidRPr="00003D01">
              <w:rPr>
                <w:rFonts w:ascii="Arial" w:hAnsi="Arial" w:cs="Arial"/>
                <w:color w:val="000000"/>
                <w:sz w:val="18"/>
                <w:szCs w:val="18"/>
                <w:vertAlign w:val="superscript"/>
              </w:rPr>
              <w:t>177</w:t>
            </w:r>
            <w:r w:rsidRPr="00003D01">
              <w:rPr>
                <w:rFonts w:ascii="Arial" w:hAnsi="Arial" w:cs="Arial"/>
                <w:color w:val="000000"/>
                <w:sz w:val="18"/>
                <w:szCs w:val="18"/>
              </w:rPr>
              <w:t>Hf</w:t>
            </w:r>
          </w:p>
        </w:tc>
        <w:tc>
          <w:tcPr>
            <w:tcW w:w="1080" w:type="dxa"/>
            <w:tcBorders>
              <w:top w:val="double" w:sz="6" w:space="0" w:color="auto"/>
              <w:left w:val="nil"/>
              <w:bottom w:val="single" w:sz="6" w:space="0" w:color="auto"/>
              <w:right w:val="nil"/>
            </w:tcBorders>
          </w:tcPr>
          <w:p w:rsidR="00294A62" w:rsidRPr="00003D01" w:rsidRDefault="00294A62" w:rsidP="005977AF">
            <w:pPr>
              <w:widowControl w:val="0"/>
              <w:autoSpaceDE w:val="0"/>
              <w:autoSpaceDN w:val="0"/>
              <w:adjustRightInd w:val="0"/>
              <w:jc w:val="center"/>
              <w:rPr>
                <w:rFonts w:ascii="Arial" w:hAnsi="Arial" w:cs="Arial"/>
                <w:color w:val="000000"/>
                <w:sz w:val="18"/>
                <w:szCs w:val="18"/>
              </w:rPr>
            </w:pPr>
            <w:r w:rsidRPr="00003D01">
              <w:rPr>
                <w:rFonts w:ascii="Arial" w:hAnsi="Arial" w:cs="Arial"/>
                <w:color w:val="000000"/>
                <w:sz w:val="18"/>
                <w:szCs w:val="18"/>
              </w:rPr>
              <w:t>± (1</w:t>
            </w:r>
            <w:r w:rsidR="00003D01" w:rsidRPr="002112FF">
              <w:rPr>
                <w:rFonts w:ascii="Symbol" w:hAnsi="Symbol" w:cs="Arial"/>
                <w:color w:val="000000"/>
                <w:sz w:val="18"/>
                <w:szCs w:val="18"/>
              </w:rPr>
              <w:t></w:t>
            </w:r>
            <w:r w:rsidRPr="00003D01">
              <w:rPr>
                <w:rFonts w:ascii="Arial" w:hAnsi="Arial" w:cs="Arial"/>
                <w:color w:val="000000"/>
                <w:sz w:val="18"/>
                <w:szCs w:val="18"/>
              </w:rPr>
              <w:t>)</w:t>
            </w:r>
          </w:p>
        </w:tc>
        <w:tc>
          <w:tcPr>
            <w:tcW w:w="990" w:type="dxa"/>
            <w:tcBorders>
              <w:top w:val="double" w:sz="6" w:space="0" w:color="auto"/>
              <w:left w:val="nil"/>
              <w:bottom w:val="single" w:sz="6" w:space="0" w:color="auto"/>
              <w:right w:val="nil"/>
            </w:tcBorders>
          </w:tcPr>
          <w:p w:rsidR="005977AF" w:rsidRDefault="00294A62" w:rsidP="005977AF">
            <w:pPr>
              <w:widowControl w:val="0"/>
              <w:autoSpaceDE w:val="0"/>
              <w:autoSpaceDN w:val="0"/>
              <w:adjustRightInd w:val="0"/>
              <w:jc w:val="center"/>
              <w:rPr>
                <w:rFonts w:ascii="Arial" w:hAnsi="Arial" w:cs="Arial"/>
                <w:color w:val="000000"/>
                <w:sz w:val="18"/>
                <w:szCs w:val="18"/>
              </w:rPr>
            </w:pPr>
            <w:r w:rsidRPr="002112FF">
              <w:rPr>
                <w:rFonts w:ascii="Arial" w:hAnsi="Arial" w:cs="Arial"/>
                <w:color w:val="000000"/>
                <w:sz w:val="18"/>
                <w:szCs w:val="18"/>
                <w:vertAlign w:val="superscript"/>
              </w:rPr>
              <w:t>1</w:t>
            </w:r>
            <w:r w:rsidRPr="005977AF">
              <w:rPr>
                <w:rFonts w:ascii="Arial" w:hAnsi="Arial" w:cs="Arial"/>
                <w:color w:val="000000"/>
                <w:sz w:val="18"/>
                <w:szCs w:val="18"/>
                <w:u w:val="single"/>
                <w:vertAlign w:val="superscript"/>
              </w:rPr>
              <w:t>76</w:t>
            </w:r>
            <w:r w:rsidR="005977AF" w:rsidRPr="005977AF">
              <w:rPr>
                <w:rFonts w:ascii="Arial" w:hAnsi="Arial" w:cs="Arial"/>
                <w:color w:val="000000"/>
                <w:sz w:val="18"/>
                <w:szCs w:val="18"/>
                <w:u w:val="single"/>
              </w:rPr>
              <w:t>Lu</w:t>
            </w:r>
          </w:p>
          <w:p w:rsidR="00294A62" w:rsidRPr="00003D01" w:rsidRDefault="00294A62" w:rsidP="005977AF">
            <w:pPr>
              <w:widowControl w:val="0"/>
              <w:autoSpaceDE w:val="0"/>
              <w:autoSpaceDN w:val="0"/>
              <w:adjustRightInd w:val="0"/>
              <w:jc w:val="center"/>
              <w:rPr>
                <w:rFonts w:ascii="Arial" w:hAnsi="Arial" w:cs="Arial"/>
                <w:color w:val="000000"/>
                <w:sz w:val="18"/>
                <w:szCs w:val="18"/>
              </w:rPr>
            </w:pPr>
            <w:r w:rsidRPr="002112FF">
              <w:rPr>
                <w:rFonts w:ascii="Arial" w:hAnsi="Arial" w:cs="Arial"/>
                <w:color w:val="000000"/>
                <w:sz w:val="18"/>
                <w:szCs w:val="18"/>
                <w:vertAlign w:val="superscript"/>
              </w:rPr>
              <w:t>177</w:t>
            </w:r>
            <w:r w:rsidRPr="00003D01">
              <w:rPr>
                <w:rFonts w:ascii="Arial" w:hAnsi="Arial" w:cs="Arial"/>
                <w:color w:val="000000"/>
                <w:sz w:val="18"/>
                <w:szCs w:val="18"/>
              </w:rPr>
              <w:t>Hf</w:t>
            </w:r>
          </w:p>
        </w:tc>
        <w:tc>
          <w:tcPr>
            <w:tcW w:w="1170" w:type="dxa"/>
            <w:tcBorders>
              <w:top w:val="double" w:sz="6" w:space="0" w:color="auto"/>
              <w:left w:val="nil"/>
              <w:bottom w:val="single" w:sz="6" w:space="0" w:color="auto"/>
              <w:right w:val="nil"/>
            </w:tcBorders>
          </w:tcPr>
          <w:p w:rsidR="005977AF" w:rsidRPr="005977AF" w:rsidRDefault="00294A62" w:rsidP="005977AF">
            <w:pPr>
              <w:widowControl w:val="0"/>
              <w:autoSpaceDE w:val="0"/>
              <w:autoSpaceDN w:val="0"/>
              <w:adjustRightInd w:val="0"/>
              <w:jc w:val="center"/>
              <w:rPr>
                <w:rFonts w:ascii="Arial" w:hAnsi="Arial" w:cs="Arial"/>
                <w:color w:val="000000"/>
                <w:sz w:val="18"/>
                <w:szCs w:val="18"/>
                <w:u w:val="single"/>
              </w:rPr>
            </w:pPr>
            <w:r w:rsidRPr="005977AF">
              <w:rPr>
                <w:rFonts w:ascii="Arial" w:hAnsi="Arial" w:cs="Arial"/>
                <w:color w:val="000000"/>
                <w:sz w:val="18"/>
                <w:szCs w:val="18"/>
                <w:u w:val="single"/>
                <w:vertAlign w:val="superscript"/>
              </w:rPr>
              <w:t>176</w:t>
            </w:r>
            <w:r w:rsidR="005977AF" w:rsidRPr="005977AF">
              <w:rPr>
                <w:rFonts w:ascii="Arial" w:hAnsi="Arial" w:cs="Arial"/>
                <w:color w:val="000000"/>
                <w:sz w:val="18"/>
                <w:szCs w:val="18"/>
                <w:u w:val="single"/>
              </w:rPr>
              <w:t>Hf</w:t>
            </w:r>
          </w:p>
          <w:p w:rsidR="00294A62" w:rsidRPr="00003D01" w:rsidRDefault="00294A62" w:rsidP="005977AF">
            <w:pPr>
              <w:widowControl w:val="0"/>
              <w:autoSpaceDE w:val="0"/>
              <w:autoSpaceDN w:val="0"/>
              <w:adjustRightInd w:val="0"/>
              <w:jc w:val="center"/>
              <w:rPr>
                <w:rFonts w:ascii="Arial" w:hAnsi="Arial" w:cs="Arial"/>
                <w:color w:val="000000"/>
                <w:sz w:val="18"/>
                <w:szCs w:val="18"/>
              </w:rPr>
            </w:pPr>
            <w:r w:rsidRPr="002112FF">
              <w:rPr>
                <w:rFonts w:ascii="Arial" w:hAnsi="Arial" w:cs="Arial"/>
                <w:color w:val="000000"/>
                <w:sz w:val="18"/>
                <w:szCs w:val="18"/>
                <w:vertAlign w:val="superscript"/>
              </w:rPr>
              <w:t>177</w:t>
            </w:r>
            <w:r w:rsidR="00AF6B2F">
              <w:rPr>
                <w:rFonts w:ascii="Arial" w:hAnsi="Arial" w:cs="Arial"/>
                <w:color w:val="000000"/>
                <w:sz w:val="18"/>
                <w:szCs w:val="18"/>
              </w:rPr>
              <w:t>Hf</w:t>
            </w:r>
            <w:r w:rsidRPr="00003D01">
              <w:rPr>
                <w:rFonts w:ascii="Arial" w:hAnsi="Arial" w:cs="Arial"/>
                <w:color w:val="000000"/>
                <w:sz w:val="18"/>
                <w:szCs w:val="18"/>
              </w:rPr>
              <w:t>(</w:t>
            </w:r>
            <w:r w:rsidR="00AF6B2F">
              <w:rPr>
                <w:rFonts w:ascii="Arial" w:hAnsi="Arial" w:cs="Arial"/>
                <w:color w:val="000000"/>
                <w:sz w:val="18"/>
                <w:szCs w:val="18"/>
              </w:rPr>
              <w:t>t</w:t>
            </w:r>
            <w:r w:rsidRPr="00003D01">
              <w:rPr>
                <w:rFonts w:ascii="Arial" w:hAnsi="Arial" w:cs="Arial"/>
                <w:color w:val="000000"/>
                <w:sz w:val="18"/>
                <w:szCs w:val="18"/>
              </w:rPr>
              <w:t>)</w:t>
            </w:r>
          </w:p>
        </w:tc>
        <w:tc>
          <w:tcPr>
            <w:tcW w:w="810" w:type="dxa"/>
            <w:tcBorders>
              <w:top w:val="double" w:sz="6" w:space="0" w:color="auto"/>
              <w:left w:val="nil"/>
              <w:bottom w:val="single" w:sz="6" w:space="0" w:color="auto"/>
              <w:right w:val="nil"/>
            </w:tcBorders>
          </w:tcPr>
          <w:p w:rsidR="00294A62" w:rsidRPr="00003D01" w:rsidRDefault="002112FF" w:rsidP="005977AF">
            <w:pPr>
              <w:widowControl w:val="0"/>
              <w:autoSpaceDE w:val="0"/>
              <w:autoSpaceDN w:val="0"/>
              <w:adjustRightInd w:val="0"/>
              <w:jc w:val="center"/>
              <w:rPr>
                <w:rFonts w:ascii="Arial" w:hAnsi="Arial" w:cs="Arial"/>
                <w:color w:val="000000"/>
                <w:sz w:val="18"/>
                <w:szCs w:val="18"/>
              </w:rPr>
            </w:pPr>
            <w:r w:rsidRPr="002112FF">
              <w:rPr>
                <w:rFonts w:ascii="Symbol" w:hAnsi="Symbol" w:cs="Arial"/>
                <w:color w:val="000000"/>
                <w:sz w:val="24"/>
                <w:szCs w:val="24"/>
              </w:rPr>
              <w:t></w:t>
            </w:r>
            <w:r>
              <w:rPr>
                <w:rFonts w:ascii="Arial" w:hAnsi="Arial" w:cs="Arial"/>
                <w:color w:val="000000"/>
                <w:sz w:val="18"/>
                <w:szCs w:val="18"/>
              </w:rPr>
              <w:t xml:space="preserve"> </w:t>
            </w:r>
            <w:proofErr w:type="spellStart"/>
            <w:r w:rsidR="00294A62" w:rsidRPr="00003D01">
              <w:rPr>
                <w:rFonts w:ascii="Arial" w:hAnsi="Arial" w:cs="Arial"/>
                <w:color w:val="000000"/>
                <w:sz w:val="18"/>
                <w:szCs w:val="18"/>
              </w:rPr>
              <w:t>Hf</w:t>
            </w:r>
            <w:proofErr w:type="spellEnd"/>
            <w:r w:rsidR="00294A62" w:rsidRPr="00003D01">
              <w:rPr>
                <w:rFonts w:ascii="Arial" w:hAnsi="Arial" w:cs="Arial"/>
                <w:color w:val="000000"/>
                <w:sz w:val="18"/>
                <w:szCs w:val="18"/>
              </w:rPr>
              <w:t xml:space="preserve"> (0)</w:t>
            </w:r>
          </w:p>
        </w:tc>
        <w:tc>
          <w:tcPr>
            <w:tcW w:w="810" w:type="dxa"/>
            <w:tcBorders>
              <w:top w:val="double" w:sz="6" w:space="0" w:color="auto"/>
              <w:left w:val="nil"/>
              <w:bottom w:val="single" w:sz="6" w:space="0" w:color="auto"/>
              <w:right w:val="nil"/>
            </w:tcBorders>
          </w:tcPr>
          <w:p w:rsidR="00294A62" w:rsidRPr="00003D01" w:rsidRDefault="002112FF" w:rsidP="005977AF">
            <w:pPr>
              <w:widowControl w:val="0"/>
              <w:autoSpaceDE w:val="0"/>
              <w:autoSpaceDN w:val="0"/>
              <w:adjustRightInd w:val="0"/>
              <w:jc w:val="center"/>
              <w:rPr>
                <w:rFonts w:ascii="Arial" w:hAnsi="Arial" w:cs="Arial"/>
                <w:color w:val="000000"/>
                <w:sz w:val="18"/>
                <w:szCs w:val="18"/>
              </w:rPr>
            </w:pPr>
            <w:r w:rsidRPr="002112FF">
              <w:rPr>
                <w:rFonts w:ascii="Symbol" w:hAnsi="Symbol" w:cs="Arial"/>
                <w:color w:val="000000"/>
                <w:sz w:val="24"/>
                <w:szCs w:val="24"/>
              </w:rPr>
              <w:t></w:t>
            </w:r>
            <w:r>
              <w:rPr>
                <w:rFonts w:ascii="Arial" w:hAnsi="Arial" w:cs="Arial"/>
                <w:color w:val="000000"/>
                <w:sz w:val="18"/>
                <w:szCs w:val="18"/>
              </w:rPr>
              <w:t xml:space="preserve"> </w:t>
            </w:r>
            <w:proofErr w:type="spellStart"/>
            <w:r w:rsidR="00294A62" w:rsidRPr="00003D01">
              <w:rPr>
                <w:rFonts w:ascii="Arial" w:hAnsi="Arial" w:cs="Arial"/>
                <w:color w:val="000000"/>
                <w:sz w:val="18"/>
                <w:szCs w:val="18"/>
              </w:rPr>
              <w:t>Hf</w:t>
            </w:r>
            <w:proofErr w:type="spellEnd"/>
            <w:r w:rsidR="00294A62" w:rsidRPr="00003D01">
              <w:rPr>
                <w:rFonts w:ascii="Arial" w:hAnsi="Arial" w:cs="Arial"/>
                <w:color w:val="000000"/>
                <w:sz w:val="18"/>
                <w:szCs w:val="18"/>
              </w:rPr>
              <w:t xml:space="preserve"> (0) ± (1</w:t>
            </w:r>
            <w:r w:rsidRPr="002112FF">
              <w:rPr>
                <w:rFonts w:ascii="Symbol" w:hAnsi="Symbol" w:cs="Arial"/>
                <w:color w:val="000000"/>
                <w:sz w:val="18"/>
                <w:szCs w:val="18"/>
              </w:rPr>
              <w:t></w:t>
            </w:r>
            <w:r w:rsidRPr="002112FF">
              <w:rPr>
                <w:rFonts w:ascii="Symbol" w:hAnsi="Symbol" w:cs="Arial"/>
                <w:color w:val="000000"/>
                <w:sz w:val="18"/>
                <w:szCs w:val="18"/>
              </w:rPr>
              <w:t></w:t>
            </w:r>
            <w:r w:rsidR="00294A62" w:rsidRPr="00003D01">
              <w:rPr>
                <w:rFonts w:ascii="Arial" w:hAnsi="Arial" w:cs="Arial"/>
                <w:color w:val="000000"/>
                <w:sz w:val="18"/>
                <w:szCs w:val="18"/>
              </w:rPr>
              <w:t>)</w:t>
            </w:r>
          </w:p>
        </w:tc>
        <w:tc>
          <w:tcPr>
            <w:tcW w:w="720" w:type="dxa"/>
            <w:tcBorders>
              <w:top w:val="double" w:sz="6" w:space="0" w:color="auto"/>
              <w:left w:val="nil"/>
              <w:bottom w:val="single" w:sz="6" w:space="0" w:color="auto"/>
              <w:right w:val="nil"/>
            </w:tcBorders>
          </w:tcPr>
          <w:p w:rsidR="00294A62" w:rsidRPr="00003D01" w:rsidRDefault="002112FF" w:rsidP="005977AF">
            <w:pPr>
              <w:widowControl w:val="0"/>
              <w:autoSpaceDE w:val="0"/>
              <w:autoSpaceDN w:val="0"/>
              <w:adjustRightInd w:val="0"/>
              <w:jc w:val="center"/>
              <w:rPr>
                <w:rFonts w:ascii="Arial" w:hAnsi="Arial" w:cs="Arial"/>
                <w:color w:val="000000"/>
                <w:sz w:val="18"/>
                <w:szCs w:val="18"/>
              </w:rPr>
            </w:pPr>
            <w:r w:rsidRPr="002112FF">
              <w:rPr>
                <w:rFonts w:ascii="Symbol" w:hAnsi="Symbol" w:cs="Arial"/>
                <w:color w:val="000000"/>
                <w:sz w:val="24"/>
                <w:szCs w:val="24"/>
              </w:rPr>
              <w:t></w:t>
            </w:r>
            <w:r>
              <w:rPr>
                <w:rFonts w:ascii="Arial" w:hAnsi="Arial" w:cs="Arial"/>
                <w:color w:val="000000"/>
                <w:sz w:val="18"/>
                <w:szCs w:val="18"/>
              </w:rPr>
              <w:t xml:space="preserve"> </w:t>
            </w:r>
            <w:proofErr w:type="spellStart"/>
            <w:r w:rsidR="00294A62" w:rsidRPr="00003D01">
              <w:rPr>
                <w:rFonts w:ascii="Arial" w:hAnsi="Arial" w:cs="Arial"/>
                <w:color w:val="000000"/>
                <w:sz w:val="18"/>
                <w:szCs w:val="18"/>
              </w:rPr>
              <w:t>Hf</w:t>
            </w:r>
            <w:proofErr w:type="spellEnd"/>
            <w:r w:rsidR="00294A62" w:rsidRPr="00003D01">
              <w:rPr>
                <w:rFonts w:ascii="Arial" w:hAnsi="Arial" w:cs="Arial"/>
                <w:color w:val="000000"/>
                <w:sz w:val="18"/>
                <w:szCs w:val="18"/>
              </w:rPr>
              <w:t xml:space="preserve"> (</w:t>
            </w:r>
            <w:r>
              <w:rPr>
                <w:rFonts w:ascii="Arial" w:hAnsi="Arial" w:cs="Arial"/>
                <w:color w:val="000000"/>
                <w:sz w:val="18"/>
                <w:szCs w:val="18"/>
              </w:rPr>
              <w:t>t</w:t>
            </w:r>
            <w:r w:rsidR="00294A62" w:rsidRPr="00003D01">
              <w:rPr>
                <w:rFonts w:ascii="Arial" w:hAnsi="Arial" w:cs="Arial"/>
                <w:color w:val="000000"/>
                <w:sz w:val="18"/>
                <w:szCs w:val="18"/>
              </w:rPr>
              <w:t>)</w:t>
            </w:r>
          </w:p>
        </w:tc>
        <w:tc>
          <w:tcPr>
            <w:tcW w:w="720" w:type="dxa"/>
            <w:tcBorders>
              <w:top w:val="double" w:sz="6" w:space="0" w:color="auto"/>
              <w:left w:val="nil"/>
              <w:bottom w:val="single" w:sz="6" w:space="0" w:color="auto"/>
              <w:right w:val="nil"/>
            </w:tcBorders>
          </w:tcPr>
          <w:p w:rsidR="00294A62" w:rsidRPr="00003D01" w:rsidRDefault="00294A62" w:rsidP="005977AF">
            <w:pPr>
              <w:widowControl w:val="0"/>
              <w:autoSpaceDE w:val="0"/>
              <w:autoSpaceDN w:val="0"/>
              <w:adjustRightInd w:val="0"/>
              <w:jc w:val="center"/>
              <w:rPr>
                <w:rFonts w:ascii="Arial" w:hAnsi="Arial" w:cs="Arial"/>
                <w:color w:val="000000"/>
                <w:sz w:val="18"/>
                <w:szCs w:val="18"/>
              </w:rPr>
            </w:pPr>
            <w:r w:rsidRPr="00003D01">
              <w:rPr>
                <w:rFonts w:ascii="Arial" w:hAnsi="Arial" w:cs="Arial"/>
                <w:color w:val="000000"/>
                <w:sz w:val="18"/>
                <w:szCs w:val="18"/>
              </w:rPr>
              <w:t>Age (Ma)</w:t>
            </w:r>
          </w:p>
        </w:tc>
      </w:tr>
      <w:tr w:rsidR="00003D01" w:rsidRPr="00003D01" w:rsidTr="00003535">
        <w:trPr>
          <w:trHeight w:val="156"/>
        </w:trPr>
        <w:tc>
          <w:tcPr>
            <w:tcW w:w="7470" w:type="dxa"/>
            <w:gridSpan w:val="7"/>
            <w:tcBorders>
              <w:top w:val="nil"/>
              <w:left w:val="nil"/>
              <w:bottom w:val="nil"/>
              <w:right w:val="nil"/>
            </w:tcBorders>
          </w:tcPr>
          <w:p w:rsidR="00003D01" w:rsidRPr="00003D01" w:rsidRDefault="00003D01" w:rsidP="00003D01">
            <w:pPr>
              <w:widowControl w:val="0"/>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Sample 11CD-60, Ghost Rocks Fm  (57.43846, -152.73250)</w:t>
            </w:r>
          </w:p>
        </w:tc>
        <w:tc>
          <w:tcPr>
            <w:tcW w:w="810" w:type="dxa"/>
            <w:tcBorders>
              <w:top w:val="nil"/>
              <w:left w:val="nil"/>
              <w:bottom w:val="nil"/>
              <w:right w:val="nil"/>
            </w:tcBorders>
          </w:tcPr>
          <w:p w:rsidR="00003D01" w:rsidRPr="00003D01" w:rsidRDefault="00003D01">
            <w:pPr>
              <w:widowControl w:val="0"/>
              <w:autoSpaceDE w:val="0"/>
              <w:autoSpaceDN w:val="0"/>
              <w:adjustRightInd w:val="0"/>
              <w:jc w:val="right"/>
              <w:rPr>
                <w:rFonts w:ascii="Arial" w:hAnsi="Arial" w:cs="Arial"/>
                <w:color w:val="000000"/>
                <w:sz w:val="18"/>
                <w:szCs w:val="18"/>
              </w:rPr>
            </w:pPr>
          </w:p>
        </w:tc>
        <w:tc>
          <w:tcPr>
            <w:tcW w:w="810" w:type="dxa"/>
            <w:tcBorders>
              <w:top w:val="nil"/>
              <w:left w:val="nil"/>
              <w:bottom w:val="nil"/>
              <w:right w:val="nil"/>
            </w:tcBorders>
          </w:tcPr>
          <w:p w:rsidR="00003D01" w:rsidRPr="00003D01" w:rsidRDefault="00003D01">
            <w:pPr>
              <w:widowControl w:val="0"/>
              <w:autoSpaceDE w:val="0"/>
              <w:autoSpaceDN w:val="0"/>
              <w:adjustRightInd w:val="0"/>
              <w:jc w:val="right"/>
              <w:rPr>
                <w:rFonts w:ascii="Arial" w:hAnsi="Arial" w:cs="Arial"/>
                <w:color w:val="000000"/>
                <w:sz w:val="18"/>
                <w:szCs w:val="18"/>
              </w:rPr>
            </w:pPr>
          </w:p>
        </w:tc>
        <w:tc>
          <w:tcPr>
            <w:tcW w:w="720" w:type="dxa"/>
            <w:tcBorders>
              <w:top w:val="nil"/>
              <w:left w:val="nil"/>
              <w:bottom w:val="nil"/>
              <w:right w:val="nil"/>
            </w:tcBorders>
          </w:tcPr>
          <w:p w:rsidR="00003D01" w:rsidRPr="00003D01" w:rsidRDefault="00003D01">
            <w:pPr>
              <w:widowControl w:val="0"/>
              <w:autoSpaceDE w:val="0"/>
              <w:autoSpaceDN w:val="0"/>
              <w:adjustRightInd w:val="0"/>
              <w:jc w:val="right"/>
              <w:rPr>
                <w:rFonts w:ascii="Arial" w:hAnsi="Arial" w:cs="Arial"/>
                <w:color w:val="000000"/>
                <w:sz w:val="18"/>
                <w:szCs w:val="18"/>
              </w:rPr>
            </w:pPr>
          </w:p>
        </w:tc>
        <w:tc>
          <w:tcPr>
            <w:tcW w:w="720" w:type="dxa"/>
            <w:tcBorders>
              <w:top w:val="nil"/>
              <w:left w:val="nil"/>
              <w:bottom w:val="nil"/>
              <w:right w:val="nil"/>
            </w:tcBorders>
          </w:tcPr>
          <w:p w:rsidR="00003D01" w:rsidRPr="00003D01" w:rsidRDefault="00003D01" w:rsidP="005977AF">
            <w:pPr>
              <w:widowControl w:val="0"/>
              <w:tabs>
                <w:tab w:val="decimal" w:pos="486"/>
              </w:tabs>
              <w:autoSpaceDE w:val="0"/>
              <w:autoSpaceDN w:val="0"/>
              <w:adjustRightInd w:val="0"/>
              <w:rPr>
                <w:rFonts w:ascii="Arial" w:hAnsi="Arial" w:cs="Arial"/>
                <w:color w:val="000000"/>
                <w:sz w:val="18"/>
                <w:szCs w:val="18"/>
              </w:rPr>
            </w:pP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11CD-60PC-86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0.282165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0.001063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11CD-60PC-12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0.282413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0.001667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0.282398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11CD-60PC-50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0.282184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0.001049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11CD-60PC-26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0.281811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0.001924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0.282135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0.000551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0.282128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11CD-60PC-23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0.282248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0.001348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0.282477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0.001197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0.282461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11CD-60PC-77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0.282235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0.001594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1003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11CD-60PC-13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0.282201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0.282189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1038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11CD-60PC-88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0.282102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0.000778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11CD-60PC-59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0.281933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0.000777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1258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11CD-60PC-46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0.282226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0.000786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0.282207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11CD-60PC-04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0.001948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1342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11CD-60PC-98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0.282092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0.000611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1354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0.281881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0.000722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1426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11CD-60PC-90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0.282291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0.000071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0.001819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0.282241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11CD-60PC-63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0.282130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0.000856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1512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11CD-60PC-09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0.281964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0.000852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0.281940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11CD-60PC-76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0.281831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0.000069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0.000782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0.281807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11CD-60PC-74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1652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11CD-60PC-39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0.281363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0.281327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1720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11CD-60PC-24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0.281804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0.000518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1745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11CD-60PC-99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0.281384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0.000437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0.281369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1836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11CD-60PC-01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0.281539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0.000201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1920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11CD-60PC-95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0.280946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0.280918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2008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0.281354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0.000166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0.281348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-50.6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2032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11CD-60PC-73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0.001535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0.281563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11CD-60PC-100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0.281341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2312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11CD-60PC-33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0.281056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0.000564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0.281029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2571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11CD-60PC-94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0.281097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0.000909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0.281049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2721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11CD-60PC-20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0.281025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0.000379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2805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11CD-60PC-92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0.280805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0.280765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2846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Sample 11HW-23, Orca Fm  (60.5510, -148.4158)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11HW-23-PC-77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0.282566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0.000402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0.282563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0.282356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0.001524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11HW-23-PC-63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0.282432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0.282417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11HW-23-PC-30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0.282313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0.000087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0.282313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11HW-23-PC-13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0.282533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0.001833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0.282517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11HW-23-PC-95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0.282211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0.000985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0.282202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500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11HW-23-PC-94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0.282751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0.001217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11HW-23-PC-54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0.282439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0.001053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0.282426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11HW-23-PC-67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0.282339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0.001079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0.282325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11HW-23-PC-05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0.282555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0.002244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0.282520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11HW-23-PC-39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0.282265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0.000276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1033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11HW-23-PC-08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0.282150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0.000273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11HW-23-PC-60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0.001292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1156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11HW-23-PC-88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0.282098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0.000498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0.001355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1355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11HW-23-PC-69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0.282188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0.000657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1366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11HW-23-PC-74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0.282045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0.001162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1412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11HW-23-PC-52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0.281938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0.000432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11HW-23-PC-27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1534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11HW-23-PC-31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0.281449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0.000645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0.281428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11HW-23-PC-80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0.281554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0.000793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0.281527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11HW-23-PC-58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0.281560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0.000551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0.281541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11HW-23-PC-61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0.281657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0.000766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11HW-23-PC-36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0.281616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0.281602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1855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11HW-23-PC-44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0.281742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0.000783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11HW-23-PC-100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0.281045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0.000386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11HW-23-PC-50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0.281148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0.000220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0.281139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2326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11HW-23-PC-53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0.281107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0.000541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0.281080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2533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11HW-23-PC-11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0.281192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0.002173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0.281086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2550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11HW-23-PC-48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0.281171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0.000327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0.281155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2632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lastRenderedPageBreak/>
              <w:t>11HW-23-PC-15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0.280905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0.000509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0.280877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-66.5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2935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 xml:space="preserve">Sample 11SJO-34, </w:t>
            </w:r>
            <w:proofErr w:type="spellStart"/>
            <w:r w:rsidRPr="00003D01">
              <w:rPr>
                <w:rFonts w:ascii="Arial" w:hAnsi="Arial" w:cs="Arial"/>
                <w:b/>
                <w:bCs/>
                <w:color w:val="000000"/>
                <w:sz w:val="18"/>
                <w:szCs w:val="18"/>
              </w:rPr>
              <w:t>Sitkalidak</w:t>
            </w:r>
            <w:proofErr w:type="spellEnd"/>
            <w:r w:rsidRPr="00003D01">
              <w:rPr>
                <w:rFonts w:ascii="Arial" w:hAnsi="Arial" w:cs="Arial"/>
                <w:b/>
                <w:bCs/>
                <w:color w:val="000000"/>
                <w:sz w:val="18"/>
                <w:szCs w:val="18"/>
              </w:rPr>
              <w:t xml:space="preserve"> Fm  (57.42846, -152.32520)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11SJ034PC-13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0.282398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0.001330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0.282389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11SJ034PC-10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0.282516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0.000633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11SJ034PC-47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0.282583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0.001059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11SJ034PC-05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0.282370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0.000578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0.282365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11SJ034PC-15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0.001057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503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11SJO-34Y-12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0.281712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0.000155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11SJ034PC-37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0.282476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0.001055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0.282464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11SJ034PC-06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0.282251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0.000966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11SJ034PC-23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0.282348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0.000646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0.282220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0.000433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11SJ034PC-31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0.282291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0.000171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1052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0.282272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0.001723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11SJ034PC-43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0.282372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0.002535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1120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11SJ034PC-46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0.282138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0.000646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11SJ034PC-11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0.281869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0.000603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0.281851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1597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11SJ034PC-25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0.282043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0.000812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1611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0.001187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0.281502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1719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11SJ034PC-14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0.281798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0.000723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11SJ034PC-53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0.281408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0.000406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0.281394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1833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11SJ034PC-33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0.281432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0.000727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1955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11SJ034PC-50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0.281383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0.000142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1988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11SJ034PC-35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0.281484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0.000287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2001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11SJ034PC-28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0.280969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0.000302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0.280958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2024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11SJ034PC-27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0.281336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0.001196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0.281284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2317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11SJO-34Y-31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0.281237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0.000798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0.281200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2405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11SJ034PC-04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0.281125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0.000594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0.281096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2609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Sample JG10-25, Yakutat Fm (59.91939, -139.57452)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JG1025-20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0.282884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0.001182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0.282883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JG1025-06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0.001350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JG1025-53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0.002000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JG1025-98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0.282260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0.001031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JG1025-49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0.000851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JG1025-68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0.282385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0.001529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JG1025-45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0.001444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JG1025-54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0.282379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JG1025-30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0.282766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0.282765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JG1025-27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0.282211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0.001458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0.282208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JG1025-14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0.001093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JG1025-32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0.001022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0.001019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0.282721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0.001035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JG1025-39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0.000789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JG1025-05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JG1025-97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0.002983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JG1025-44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0.000593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JG1025-22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0.001203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JG1025-96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10-25PC-76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0.282920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0.002074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JG1025-21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0.282441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0.001570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0.282433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JG1025-09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0.282577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0.001269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0.282569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JG1025-50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0.282418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0.000749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0.282412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10-25PC-51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0.282180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0.001038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10-25PC-53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0.282215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0.001075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0.282192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JG1025-16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0.282058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0.002349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1369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JG1025-51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0.281903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0.001745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10-25PC-56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0.001340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10-25PC-65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0.281868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0.002130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1378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10-25PC-04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0.001663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1378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10-25PC-73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0.001888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1381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JG1025-79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0.281962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0.001900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1381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10-25PC-13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0.001623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0.281970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1384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JG1025-01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53.7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0.003032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1388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10-25PC-57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0.001462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1425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lastRenderedPageBreak/>
              <w:t>JG 10-25PC-39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0.000590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1436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JG1025-38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0.282000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0.000654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1444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10-25PC-50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0.003052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1454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10-25PC-72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0.282093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0.001898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0.282040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0.282107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0.000699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1477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1483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0.282070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0.001436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JG1025-10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0.000836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10-25PC-70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0.001752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10-25PC-61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0.281885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0.000846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JG1025-71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0.282094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0.002012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1547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10-25PC-33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0.281979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0.002199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1564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10-25PC-49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0.000554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1604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10-25PC-64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0.002463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JG1025-36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0.001104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1637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10-25PC-25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0.000955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10-25PC-48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0.001436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1664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10-25PC-30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0.281972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0.281951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1664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JG1025-57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0.281874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0.000750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JG1025-04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0.002670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1686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JG1025-24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0.281760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0.000840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1690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JG1025-92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0.001691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1691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10-25PC-59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0.002419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10-25PC-10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0.281979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1701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10-25PC-12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0.281779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0.001827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0.281720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1703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10-25PC-75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0.281871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0.000714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0.281848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1712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10-25PC-22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0.281821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0.001213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1712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10-25PC-09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0.000890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0.281966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1716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10-25PC-43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0.002195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0.281853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1737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10-25PC-32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0.281828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0.001285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1739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10-25PC-27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0.281729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0.001547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1748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0.281952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0.002281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10-25PC-68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0.281689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0.001929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10-25PC-60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0.281765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0.000697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1760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JG1025-25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0.281628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0.000589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10-25PC-14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0.281810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0.000050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0.000538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10-25PC-42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0.281731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0.000805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10-25PC-15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0.281653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0.001217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10-25PC-74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0.281696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0.001175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0.281656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10-25PC-05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0.281620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0.001945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10-25PC-08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0.281597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0.000748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0.281633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0.000215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10-25PC-46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0.281722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0.001205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0.281670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2256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 10-25PC-67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0.281056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0.000959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0.281007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2683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Sample JG09-05, Kodiak Fm  (57.83622, -152.35168)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JG09-05-14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0.283075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0.001264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0.283074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JG09-05-36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0.001829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JG09-05-37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0.001818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JG09-05-99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0.000647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JG09-05-11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0.282233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0.000013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JG09-05-52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0.001374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JG09-05-78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0.001094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JG09-05-95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0.282620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0.001233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JG09-05-08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0.283050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0.001935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JG09-05-92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0.282699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0.000798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0.282697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JG09-05-85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0.001001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JG09-05-69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0.282888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0.282886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JG09-05-10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0.001641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JG09-05-94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0.003685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JG09-05-38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0.000980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JG09-05-33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0.282569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0.001458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0.282564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0.282639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0.001247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JG09-05-24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0.282714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JG09-05-89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0.282663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0.000827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JG09-05-22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0.005889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lastRenderedPageBreak/>
              <w:t>JG09-05-20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0.282527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0.001499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0.282519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JG09-05-34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0.001272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0.282476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0.001683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0.282466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JG09-05-42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0.282374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0.001049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0.282367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0.282213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0.000705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0.282208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JG09-05-55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0.282206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0.001190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0.282198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JG09-05-58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0.282091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0.001032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0.282084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JG09-05-70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0.282348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0.000325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JG09-05-93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0.282393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0.002025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JG09-05-48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0.000741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0.282326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1053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0.001103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1199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0.282322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0.003143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1201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JG09-05-PCY40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0.000920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1241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JG09-05-63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0.282218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0.001539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0.282180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1332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JG09-05-47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0.281801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0.281941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0.001022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1414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0.282024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0.001427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1436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JG09-05-PCY27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0.281926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0.000759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1513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0.281908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0.000976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0.281880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JG09-05-64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0.282007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0.281986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1582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0.281807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0.000597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0.281534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0.000489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JG09-05-32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0.281628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0.000872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0.281744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0.000920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0.281860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0.000187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0.281853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0.281437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0.000569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0.281417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0.281638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0.001094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0.281600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0.281485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0.000590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0.281464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1835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JG09-05-PCY25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0.281720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0.000461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0.281810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0.001467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0.281524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0.000574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0.281687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0.001246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0.281643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0.281506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0.000306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0.281495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1852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0.281430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0.000287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0.281419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1857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JG09-05-54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0.281544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0.000690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0.281519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1875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0.281609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0.000340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0.281597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0.281431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0.000527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JG09-05-PCY22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0.281585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0.000622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0.281563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1913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0.281406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0.000140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0.281401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JG09-05-65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0.281605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0.281575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1928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JG09-05-41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0.281450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1929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0.281480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0.001183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0.281508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0.000623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0.281484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1994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JG09-05-PCY21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0.281427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0.000641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0.281402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1996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JG09-05-79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0.281447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0.000555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0.281426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2000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0.281377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0.000547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0.281356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2002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JG09-05-88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0.281443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0.000859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2016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JG09-05-PCY41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0.281291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0.281264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-52.8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JG09-05-04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0.281311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0.001267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0.281256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-52.1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2306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0.281199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0.000640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0.281171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JG09-05-PCY30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0.281201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0.000665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0.281170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JG09-05-PCY20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0.281221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0.000608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0.281192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2521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0.281218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0.281193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2575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0.281208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0.000496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0.281183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2600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JG09-05-PCY14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0.281044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0.000376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0.281025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2709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JG09-05-PCY23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0.280966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0.000693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0.280929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2735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 xml:space="preserve">Sample NI12-04, </w:t>
            </w:r>
            <w:proofErr w:type="spellStart"/>
            <w:r w:rsidRPr="00003D01">
              <w:rPr>
                <w:rFonts w:ascii="Arial" w:hAnsi="Arial" w:cs="Arial"/>
                <w:b/>
                <w:bCs/>
                <w:color w:val="000000"/>
                <w:sz w:val="18"/>
                <w:szCs w:val="18"/>
              </w:rPr>
              <w:t>Shumagin</w:t>
            </w:r>
            <w:proofErr w:type="spellEnd"/>
            <w:r w:rsidRPr="00003D01">
              <w:rPr>
                <w:rFonts w:ascii="Arial" w:hAnsi="Arial" w:cs="Arial"/>
                <w:b/>
                <w:bCs/>
                <w:color w:val="000000"/>
                <w:sz w:val="18"/>
                <w:szCs w:val="18"/>
              </w:rPr>
              <w:t xml:space="preserve"> Fm (55.156140°, -160.017880°)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NI12-04-105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0.001065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NI12-04-50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0.001379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NI12-04-112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0.000703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NI12-04-26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0.000951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NI12-04-97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0.000715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NI12-04-11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0.000852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0.283041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0.001933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NI12-04-93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0.283063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0.002329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NI12-04-117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0.001293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lastRenderedPageBreak/>
              <w:t>NI12-04-83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0.001247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NI12-04-40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0.282960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0.001334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NI12-04-24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0.001213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NI12-04-77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0.000572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NI12-04-78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0.282976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0.001487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NI12-04-35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0.282844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0.282840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NI12-04-53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0.002716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0.282817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NI12-04-74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0.001551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NI12-04-72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0.282774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0.004531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NI12-04-51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0.282882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0.001258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NI12-04-103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0.282964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0.001798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 xml:space="preserve">Sample NI12-11, </w:t>
            </w:r>
            <w:proofErr w:type="spellStart"/>
            <w:r w:rsidRPr="00003D01">
              <w:rPr>
                <w:rFonts w:ascii="Arial" w:hAnsi="Arial" w:cs="Arial"/>
                <w:b/>
                <w:bCs/>
                <w:color w:val="000000"/>
                <w:sz w:val="18"/>
                <w:szCs w:val="18"/>
              </w:rPr>
              <w:t>Shumagin</w:t>
            </w:r>
            <w:proofErr w:type="spellEnd"/>
            <w:r w:rsidRPr="00003D01">
              <w:rPr>
                <w:rFonts w:ascii="Arial" w:hAnsi="Arial" w:cs="Arial"/>
                <w:b/>
                <w:bCs/>
                <w:color w:val="000000"/>
                <w:sz w:val="18"/>
                <w:szCs w:val="18"/>
              </w:rPr>
              <w:t xml:space="preserve"> Fm (55.201560°</w:t>
            </w:r>
            <w:proofErr w:type="gramStart"/>
            <w:r w:rsidRPr="00003D01">
              <w:rPr>
                <w:rFonts w:ascii="Arial" w:hAnsi="Arial" w:cs="Arial"/>
                <w:b/>
                <w:bCs/>
                <w:color w:val="000000"/>
                <w:sz w:val="18"/>
                <w:szCs w:val="18"/>
              </w:rPr>
              <w:t>,-</w:t>
            </w:r>
            <w:proofErr w:type="gramEnd"/>
            <w:r w:rsidRPr="00003D01">
              <w:rPr>
                <w:rFonts w:ascii="Arial" w:hAnsi="Arial" w:cs="Arial"/>
                <w:b/>
                <w:bCs/>
                <w:color w:val="000000"/>
                <w:sz w:val="18"/>
                <w:szCs w:val="18"/>
              </w:rPr>
              <w:t>160.042690°)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NI12-11-44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0.000975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NI12-11-01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0.000977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0.282836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0.000530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NI12-11-97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0.000946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NI12-11-39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NI12-11-31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0.282974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0.001022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0.282972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NI12-11-35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0.282760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NI12-11-45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0.000891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NI12-11-98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0.282838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0.002292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0.282834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NI12-11-56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0.001430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NI12-11-36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0.282972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0.000750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0.282969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NI12-11-100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0.282862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0.000431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0.282632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0.001044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0.282629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NI12-11-42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0.282801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0.001553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NI12-11-20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0.002077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0.282789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NI12-11-52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0.282884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NI12-11-80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0.001445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NI12-11-49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0.001259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0.282849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NI12-11-96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0.000530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NI12-11-09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0.282829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0.282825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NI12-11-26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0.281240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0.000200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0.281233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NI12-11-48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0.280996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0.000195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0.280986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2757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 xml:space="preserve">Sample NI12-14, </w:t>
            </w:r>
            <w:proofErr w:type="spellStart"/>
            <w:r w:rsidRPr="00003D01">
              <w:rPr>
                <w:rFonts w:ascii="Arial" w:hAnsi="Arial" w:cs="Arial"/>
                <w:b/>
                <w:bCs/>
                <w:color w:val="000000"/>
                <w:sz w:val="18"/>
                <w:szCs w:val="18"/>
              </w:rPr>
              <w:t>Shumagin</w:t>
            </w:r>
            <w:proofErr w:type="spellEnd"/>
            <w:r w:rsidRPr="00003D01">
              <w:rPr>
                <w:rFonts w:ascii="Arial" w:hAnsi="Arial" w:cs="Arial"/>
                <w:b/>
                <w:bCs/>
                <w:color w:val="000000"/>
                <w:sz w:val="18"/>
                <w:szCs w:val="18"/>
              </w:rPr>
              <w:t xml:space="preserve"> Fm (55.083130°</w:t>
            </w:r>
            <w:proofErr w:type="gramStart"/>
            <w:r w:rsidRPr="00003D01">
              <w:rPr>
                <w:rFonts w:ascii="Arial" w:hAnsi="Arial" w:cs="Arial"/>
                <w:b/>
                <w:bCs/>
                <w:color w:val="000000"/>
                <w:sz w:val="18"/>
                <w:szCs w:val="18"/>
              </w:rPr>
              <w:t>,-</w:t>
            </w:r>
            <w:proofErr w:type="gramEnd"/>
            <w:r w:rsidRPr="00003D01">
              <w:rPr>
                <w:rFonts w:ascii="Arial" w:hAnsi="Arial" w:cs="Arial"/>
                <w:b/>
                <w:bCs/>
                <w:color w:val="000000"/>
                <w:sz w:val="18"/>
                <w:szCs w:val="18"/>
              </w:rPr>
              <w:t>159.939410°)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NI12-14-41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0.000969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0.283013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NI12-14-68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0.001196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NI12-14-32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0.283043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0.001037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NI12-14-31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0.000917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NI12-14-48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0.001134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NI12-14-109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0.001071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NI12-14-39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0.001256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NI12-14-98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0.001205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NI12-14-112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0.000903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0.283029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NI12-14-59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0.282961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0.283058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0.001647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NI12-14-47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0.000766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NI12-14-102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0.000561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NI12-14-14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0.001353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NI12-14-50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0.282865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0.001268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NI12-14-55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0.282966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0.001205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0.282962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NI12-14-113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80.3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0.004978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NI12-14-100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0.002932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NI12-14-37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0.001383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NI12-14-94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0.283030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NI12-14-05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0.282034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0.000860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0.282010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1445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NI12-14-73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0.281550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0.000289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0.281540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0.281644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0.281598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NI12-14-103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0.281799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0.000451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0.281783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 xml:space="preserve">Sample NI12-23, </w:t>
            </w:r>
            <w:proofErr w:type="spellStart"/>
            <w:r w:rsidRPr="00003D01">
              <w:rPr>
                <w:rFonts w:ascii="Arial" w:hAnsi="Arial" w:cs="Arial"/>
                <w:b/>
                <w:bCs/>
                <w:color w:val="000000"/>
                <w:sz w:val="18"/>
                <w:szCs w:val="18"/>
              </w:rPr>
              <w:t>Shumagin</w:t>
            </w:r>
            <w:proofErr w:type="spellEnd"/>
            <w:r w:rsidRPr="00003D01">
              <w:rPr>
                <w:rFonts w:ascii="Arial" w:hAnsi="Arial" w:cs="Arial"/>
                <w:b/>
                <w:bCs/>
                <w:color w:val="000000"/>
                <w:sz w:val="18"/>
                <w:szCs w:val="18"/>
              </w:rPr>
              <w:t xml:space="preserve"> Fm (55.228080°</w:t>
            </w:r>
            <w:proofErr w:type="gramStart"/>
            <w:r w:rsidRPr="00003D01">
              <w:rPr>
                <w:rFonts w:ascii="Arial" w:hAnsi="Arial" w:cs="Arial"/>
                <w:b/>
                <w:bCs/>
                <w:color w:val="000000"/>
                <w:sz w:val="18"/>
                <w:szCs w:val="18"/>
              </w:rPr>
              <w:t>,-</w:t>
            </w:r>
            <w:proofErr w:type="gramEnd"/>
            <w:r w:rsidRPr="00003D01">
              <w:rPr>
                <w:rFonts w:ascii="Arial" w:hAnsi="Arial" w:cs="Arial"/>
                <w:b/>
                <w:bCs/>
                <w:color w:val="000000"/>
                <w:sz w:val="18"/>
                <w:szCs w:val="18"/>
              </w:rPr>
              <w:t>159.921130°)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0.283108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0.001870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0.283105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NI12-23-27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0.282924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0.282922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NI12-23-75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0.000598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NI12-23-49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0.001095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lastRenderedPageBreak/>
              <w:t>NI12-23-74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0.001374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NI12-23-33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57.6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0.283114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0.003189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0.283109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NI12-23-22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0.001749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NI12-23-89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0.282705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0.001081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NI12-23-47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0.282721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0.001439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0.282718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NI12-23-06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0.000432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0.282956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NI12-23-60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0.282786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0.002441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NI12-23-83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0.282854</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0.001117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NI12-23-41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0.282810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0.000625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0.282808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NI12-23-97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0.282751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0.001212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0.282747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0.000548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NI12-23-35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0.000918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0.282946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NI12-23-85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0.282980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0.000941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0.282977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NI12-23-69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0.001094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NI12-23-44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40.8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0.282583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0.002624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0.282574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NI12-23-04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0.282536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0.001743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NI12-23-107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0.281409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0.281382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1918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NI12-23-106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0.281499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0.000748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0.281470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0.7</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Sample RB12-02, Orca Fm (60.00947, -149.32280)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RB12-02-30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0.282772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0.001454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0.282771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RB12-02-70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0.001517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RB12-02-17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0.282639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0.001020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0.282638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RB12-02-63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0.000736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RB12-02-47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0.000476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67</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RB12-02-66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0.282740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0.000849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0.282739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-0.1</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RB12-02-87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0.282861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0.000332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0.282861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RB12-02-14</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0.000032</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0.001473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RB12-02-80</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3.9</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0.001051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0.282796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RB12-02-27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0.282911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0.001828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RB12-02-18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3.5</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0.282725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0.001092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0.282723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p>
        </w:tc>
      </w:tr>
      <w:tr w:rsidR="00CA0731" w:rsidRPr="00003D01" w:rsidTr="00003535">
        <w:trPr>
          <w:trHeight w:val="156"/>
        </w:trPr>
        <w:tc>
          <w:tcPr>
            <w:tcW w:w="10530" w:type="dxa"/>
            <w:gridSpan w:val="11"/>
            <w:tcBorders>
              <w:top w:val="nil"/>
              <w:left w:val="nil"/>
              <w:bottom w:val="nil"/>
              <w:right w:val="nil"/>
            </w:tcBorders>
          </w:tcPr>
          <w:p w:rsidR="00CA0731" w:rsidRPr="00003D01" w:rsidRDefault="00CA0731" w:rsidP="005977AF">
            <w:pPr>
              <w:widowControl w:val="0"/>
              <w:tabs>
                <w:tab w:val="decimal" w:pos="216"/>
                <w:tab w:val="decimal" w:pos="306"/>
                <w:tab w:val="decimal" w:pos="486"/>
                <w:tab w:val="decimal" w:pos="576"/>
              </w:tabs>
              <w:autoSpaceDE w:val="0"/>
              <w:autoSpaceDN w:val="0"/>
              <w:adjustRightInd w:val="0"/>
              <w:rPr>
                <w:rFonts w:ascii="Arial" w:hAnsi="Arial" w:cs="Arial"/>
                <w:color w:val="000000"/>
                <w:sz w:val="18"/>
                <w:szCs w:val="18"/>
              </w:rPr>
            </w:pPr>
            <w:r w:rsidRPr="00003D01">
              <w:rPr>
                <w:rFonts w:ascii="Arial" w:hAnsi="Arial" w:cs="Arial"/>
                <w:b/>
                <w:bCs/>
                <w:color w:val="000000"/>
                <w:sz w:val="18"/>
                <w:szCs w:val="18"/>
              </w:rPr>
              <w:t>Sample RB12-04, Orca Fm (59.97959, -149.29672)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RB12-04-53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0.282768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0.001077</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0.282767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RB12-04-26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0.000521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4.8</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RB12-04-06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0.282700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0.000038</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0.000830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1.3</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70</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RB12-04-78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0.282811</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0.000645</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0.282811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RB12-04-25</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14.0</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0.282923</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0.000886</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0.282922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6.5</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RB12-04-52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0.282905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24.1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3.2</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0.282546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0.001524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0.282544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RB12-04-28</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60.2</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2.8</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0.282709</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0.000040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0.003422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0.282704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RB12-04-02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14.5</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3.3</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0.000033</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0.000949</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0.282857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74</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RB12-04-33</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11.1</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0.283000</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0.000828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0.282999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7.6</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9.4</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82</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RB12-04-77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16.7</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3.6</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0.282666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0.001014</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0.282654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618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RB12-04-107</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16.6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0.282265</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0.000034</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0.000992</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0.282244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-18.4</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5.2</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1085</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RB12-04-29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6.8</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0.281716</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0.000026</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0.000410</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0.281703</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-37.8</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0.6</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1726</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RB12-04-111</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4.4</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0.281328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0.000035</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0.000571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0.281309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-51.5</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-11.9</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1788</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RB12-04-109</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12.6</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3.1</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0.281432</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0.000030</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0.000741</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0.281402</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-47.9</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2073</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RB12-04-106</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21.4</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3.7</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0.281567</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0.000039</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0.001198</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0.281520</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-43.1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1.4</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2081</w:t>
            </w:r>
          </w:p>
        </w:tc>
      </w:tr>
      <w:tr w:rsidR="00003D01" w:rsidRPr="00003D01" w:rsidTr="00003535">
        <w:trPr>
          <w:trHeight w:val="156"/>
        </w:trPr>
        <w:tc>
          <w:tcPr>
            <w:tcW w:w="153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RB12-04-112</w:t>
            </w:r>
          </w:p>
        </w:tc>
        <w:tc>
          <w:tcPr>
            <w:tcW w:w="1260" w:type="dxa"/>
            <w:tcBorders>
              <w:top w:val="nil"/>
              <w:left w:val="nil"/>
              <w:bottom w:val="nil"/>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15.3</w:t>
            </w:r>
          </w:p>
        </w:tc>
        <w:tc>
          <w:tcPr>
            <w:tcW w:w="54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3.0</w:t>
            </w:r>
          </w:p>
        </w:tc>
        <w:tc>
          <w:tcPr>
            <w:tcW w:w="900" w:type="dxa"/>
            <w:tcBorders>
              <w:top w:val="nil"/>
              <w:left w:val="nil"/>
              <w:bottom w:val="nil"/>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0.280858</w:t>
            </w:r>
          </w:p>
        </w:tc>
        <w:tc>
          <w:tcPr>
            <w:tcW w:w="108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0.000027</w:t>
            </w:r>
          </w:p>
        </w:tc>
        <w:tc>
          <w:tcPr>
            <w:tcW w:w="99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0.000863</w:t>
            </w:r>
          </w:p>
        </w:tc>
        <w:tc>
          <w:tcPr>
            <w:tcW w:w="1170" w:type="dxa"/>
            <w:tcBorders>
              <w:top w:val="nil"/>
              <w:left w:val="nil"/>
              <w:bottom w:val="nil"/>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0.280817</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-68.1</w:t>
            </w:r>
          </w:p>
        </w:tc>
        <w:tc>
          <w:tcPr>
            <w:tcW w:w="81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0.9</w:t>
            </w:r>
          </w:p>
        </w:tc>
        <w:tc>
          <w:tcPr>
            <w:tcW w:w="720" w:type="dxa"/>
            <w:tcBorders>
              <w:top w:val="nil"/>
              <w:left w:val="nil"/>
              <w:bottom w:val="nil"/>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-12.0</w:t>
            </w:r>
          </w:p>
        </w:tc>
        <w:tc>
          <w:tcPr>
            <w:tcW w:w="720" w:type="dxa"/>
            <w:tcBorders>
              <w:top w:val="nil"/>
              <w:left w:val="nil"/>
              <w:bottom w:val="nil"/>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2538</w:t>
            </w:r>
          </w:p>
        </w:tc>
      </w:tr>
      <w:tr w:rsidR="00003D01" w:rsidRPr="00003D01" w:rsidTr="00003535">
        <w:trPr>
          <w:trHeight w:val="156"/>
        </w:trPr>
        <w:tc>
          <w:tcPr>
            <w:tcW w:w="1530" w:type="dxa"/>
            <w:tcBorders>
              <w:top w:val="nil"/>
              <w:left w:val="nil"/>
              <w:bottom w:val="single" w:sz="6" w:space="0" w:color="auto"/>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RB12-04-102</w:t>
            </w:r>
          </w:p>
        </w:tc>
        <w:tc>
          <w:tcPr>
            <w:tcW w:w="1260" w:type="dxa"/>
            <w:tcBorders>
              <w:top w:val="nil"/>
              <w:left w:val="nil"/>
              <w:bottom w:val="single" w:sz="6" w:space="0" w:color="auto"/>
              <w:right w:val="nil"/>
            </w:tcBorders>
          </w:tcPr>
          <w:p w:rsidR="00294A62" w:rsidRPr="00003D01" w:rsidRDefault="00294A62" w:rsidP="005977AF">
            <w:pPr>
              <w:widowControl w:val="0"/>
              <w:tabs>
                <w:tab w:val="decimal" w:pos="57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9.9</w:t>
            </w:r>
          </w:p>
        </w:tc>
        <w:tc>
          <w:tcPr>
            <w:tcW w:w="540" w:type="dxa"/>
            <w:tcBorders>
              <w:top w:val="nil"/>
              <w:left w:val="nil"/>
              <w:bottom w:val="single" w:sz="6" w:space="0" w:color="auto"/>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3.4</w:t>
            </w:r>
          </w:p>
        </w:tc>
        <w:tc>
          <w:tcPr>
            <w:tcW w:w="900" w:type="dxa"/>
            <w:tcBorders>
              <w:top w:val="nil"/>
              <w:left w:val="nil"/>
              <w:bottom w:val="single" w:sz="6" w:space="0" w:color="auto"/>
              <w:right w:val="nil"/>
            </w:tcBorders>
          </w:tcPr>
          <w:p w:rsidR="00294A62" w:rsidRPr="00003D01" w:rsidRDefault="00294A62" w:rsidP="005977AF">
            <w:pPr>
              <w:widowControl w:val="0"/>
              <w:autoSpaceDE w:val="0"/>
              <w:autoSpaceDN w:val="0"/>
              <w:adjustRightInd w:val="0"/>
              <w:rPr>
                <w:rFonts w:ascii="Arial" w:hAnsi="Arial" w:cs="Arial"/>
                <w:color w:val="000000"/>
                <w:sz w:val="18"/>
                <w:szCs w:val="18"/>
              </w:rPr>
            </w:pPr>
            <w:r w:rsidRPr="00003D01">
              <w:rPr>
                <w:rFonts w:ascii="Arial" w:hAnsi="Arial" w:cs="Arial"/>
                <w:color w:val="000000"/>
                <w:sz w:val="18"/>
                <w:szCs w:val="18"/>
              </w:rPr>
              <w:t>0.281079</w:t>
            </w:r>
          </w:p>
        </w:tc>
        <w:tc>
          <w:tcPr>
            <w:tcW w:w="1080" w:type="dxa"/>
            <w:tcBorders>
              <w:top w:val="nil"/>
              <w:left w:val="nil"/>
              <w:bottom w:val="single" w:sz="6" w:space="0" w:color="auto"/>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0.000031</w:t>
            </w:r>
          </w:p>
        </w:tc>
        <w:tc>
          <w:tcPr>
            <w:tcW w:w="990" w:type="dxa"/>
            <w:tcBorders>
              <w:top w:val="nil"/>
              <w:left w:val="nil"/>
              <w:bottom w:val="single" w:sz="6" w:space="0" w:color="auto"/>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0.000553</w:t>
            </w:r>
          </w:p>
        </w:tc>
        <w:tc>
          <w:tcPr>
            <w:tcW w:w="1170" w:type="dxa"/>
            <w:tcBorders>
              <w:top w:val="nil"/>
              <w:left w:val="nil"/>
              <w:bottom w:val="single" w:sz="6" w:space="0" w:color="auto"/>
              <w:right w:val="nil"/>
            </w:tcBorders>
          </w:tcPr>
          <w:p w:rsidR="00294A62" w:rsidRPr="00003D01" w:rsidRDefault="00294A62" w:rsidP="005977AF">
            <w:pPr>
              <w:widowControl w:val="0"/>
              <w:tabs>
                <w:tab w:val="decimal" w:pos="21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0.281051</w:t>
            </w:r>
          </w:p>
        </w:tc>
        <w:tc>
          <w:tcPr>
            <w:tcW w:w="810" w:type="dxa"/>
            <w:tcBorders>
              <w:top w:val="nil"/>
              <w:left w:val="nil"/>
              <w:bottom w:val="single" w:sz="6" w:space="0" w:color="auto"/>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-60.3</w:t>
            </w:r>
          </w:p>
        </w:tc>
        <w:tc>
          <w:tcPr>
            <w:tcW w:w="810" w:type="dxa"/>
            <w:tcBorders>
              <w:top w:val="nil"/>
              <w:left w:val="nil"/>
              <w:bottom w:val="single" w:sz="6" w:space="0" w:color="auto"/>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1.1</w:t>
            </w:r>
          </w:p>
        </w:tc>
        <w:tc>
          <w:tcPr>
            <w:tcW w:w="720" w:type="dxa"/>
            <w:tcBorders>
              <w:top w:val="nil"/>
              <w:left w:val="nil"/>
              <w:bottom w:val="single" w:sz="6" w:space="0" w:color="auto"/>
              <w:right w:val="nil"/>
            </w:tcBorders>
          </w:tcPr>
          <w:p w:rsidR="00294A62" w:rsidRPr="00003D01" w:rsidRDefault="00294A62" w:rsidP="005977AF">
            <w:pPr>
              <w:widowControl w:val="0"/>
              <w:tabs>
                <w:tab w:val="decimal" w:pos="30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-2.3</w:t>
            </w:r>
          </w:p>
        </w:tc>
        <w:tc>
          <w:tcPr>
            <w:tcW w:w="720" w:type="dxa"/>
            <w:tcBorders>
              <w:top w:val="nil"/>
              <w:left w:val="nil"/>
              <w:bottom w:val="single" w:sz="6" w:space="0" w:color="auto"/>
              <w:right w:val="nil"/>
            </w:tcBorders>
          </w:tcPr>
          <w:p w:rsidR="00294A62" w:rsidRPr="00003D01" w:rsidRDefault="00294A62" w:rsidP="005977AF">
            <w:pPr>
              <w:widowControl w:val="0"/>
              <w:tabs>
                <w:tab w:val="decimal" w:pos="486"/>
              </w:tabs>
              <w:autoSpaceDE w:val="0"/>
              <w:autoSpaceDN w:val="0"/>
              <w:adjustRightInd w:val="0"/>
              <w:rPr>
                <w:rFonts w:ascii="Arial" w:hAnsi="Arial" w:cs="Arial"/>
                <w:color w:val="000000"/>
                <w:sz w:val="18"/>
                <w:szCs w:val="18"/>
              </w:rPr>
            </w:pPr>
            <w:r w:rsidRPr="00003D01">
              <w:rPr>
                <w:rFonts w:ascii="Arial" w:hAnsi="Arial" w:cs="Arial"/>
                <w:color w:val="000000"/>
                <w:sz w:val="18"/>
                <w:szCs w:val="18"/>
              </w:rPr>
              <w:t>2597</w:t>
            </w:r>
          </w:p>
        </w:tc>
      </w:tr>
    </w:tbl>
    <w:p w:rsidR="002112FF" w:rsidRPr="00003D01" w:rsidRDefault="002112FF" w:rsidP="00294A62">
      <w:pPr>
        <w:rPr>
          <w:rFonts w:ascii="Arial" w:hAnsi="Arial" w:cs="Arial"/>
          <w:sz w:val="18"/>
          <w:szCs w:val="18"/>
        </w:rPr>
      </w:pPr>
    </w:p>
    <w:sectPr w:rsidR="002112FF" w:rsidRPr="00003D01" w:rsidSect="00003535">
      <w:pgSz w:w="12240" w:h="15840"/>
      <w:pgMar w:top="1440" w:right="720" w:bottom="1440" w:left="720" w:header="720" w:footer="720" w:gutter="0"/>
      <w:cols w:space="720"/>
      <w:noEndnote/>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922F1"/>
    <w:multiLevelType w:val="hybridMultilevel"/>
    <w:tmpl w:val="8098B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62"/>
    <w:rsid w:val="00003535"/>
    <w:rsid w:val="00003D01"/>
    <w:rsid w:val="000451D2"/>
    <w:rsid w:val="001C5BC6"/>
    <w:rsid w:val="001E6AE5"/>
    <w:rsid w:val="002112FF"/>
    <w:rsid w:val="00294A62"/>
    <w:rsid w:val="002B74A9"/>
    <w:rsid w:val="00313D2D"/>
    <w:rsid w:val="003850ED"/>
    <w:rsid w:val="005977AF"/>
    <w:rsid w:val="008237BD"/>
    <w:rsid w:val="00915DD8"/>
    <w:rsid w:val="009657AE"/>
    <w:rsid w:val="00986AFC"/>
    <w:rsid w:val="00AF6B2F"/>
    <w:rsid w:val="00C03113"/>
    <w:rsid w:val="00CA0731"/>
    <w:rsid w:val="00CD6C9D"/>
    <w:rsid w:val="00CF21C7"/>
    <w:rsid w:val="00F17C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7A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E5"/>
    <w:pPr>
      <w:ind w:left="720" w:right="36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5977AF"/>
    <w:rPr>
      <w:rFonts w:asciiTheme="majorHAnsi" w:eastAsiaTheme="majorEastAsia" w:hAnsiTheme="majorHAnsi" w:cstheme="majorBidi"/>
      <w:b/>
      <w:bCs/>
      <w:color w:val="345A8A" w:themeColor="accent1" w:themeShade="B5"/>
      <w:sz w:val="32"/>
      <w:szCs w:val="32"/>
    </w:rPr>
  </w:style>
  <w:style w:type="paragraph" w:styleId="List3">
    <w:name w:val="List 3"/>
    <w:basedOn w:val="Normal"/>
    <w:uiPriority w:val="99"/>
    <w:unhideWhenUsed/>
    <w:rsid w:val="005977AF"/>
    <w:pPr>
      <w:ind w:left="1080" w:hanging="360"/>
      <w:contextualSpacing/>
    </w:pPr>
  </w:style>
  <w:style w:type="paragraph" w:styleId="BodyText">
    <w:name w:val="Body Text"/>
    <w:basedOn w:val="Normal"/>
    <w:link w:val="BodyTextChar"/>
    <w:uiPriority w:val="99"/>
    <w:unhideWhenUsed/>
    <w:rsid w:val="005977AF"/>
    <w:pPr>
      <w:spacing w:after="120"/>
    </w:pPr>
  </w:style>
  <w:style w:type="character" w:customStyle="1" w:styleId="BodyTextChar">
    <w:name w:val="Body Text Char"/>
    <w:basedOn w:val="DefaultParagraphFont"/>
    <w:link w:val="BodyText"/>
    <w:uiPriority w:val="99"/>
    <w:rsid w:val="005977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7A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E5"/>
    <w:pPr>
      <w:ind w:left="720" w:right="36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5977AF"/>
    <w:rPr>
      <w:rFonts w:asciiTheme="majorHAnsi" w:eastAsiaTheme="majorEastAsia" w:hAnsiTheme="majorHAnsi" w:cstheme="majorBidi"/>
      <w:b/>
      <w:bCs/>
      <w:color w:val="345A8A" w:themeColor="accent1" w:themeShade="B5"/>
      <w:sz w:val="32"/>
      <w:szCs w:val="32"/>
    </w:rPr>
  </w:style>
  <w:style w:type="paragraph" w:styleId="List3">
    <w:name w:val="List 3"/>
    <w:basedOn w:val="Normal"/>
    <w:uiPriority w:val="99"/>
    <w:unhideWhenUsed/>
    <w:rsid w:val="005977AF"/>
    <w:pPr>
      <w:ind w:left="1080" w:hanging="360"/>
      <w:contextualSpacing/>
    </w:pPr>
  </w:style>
  <w:style w:type="paragraph" w:styleId="BodyText">
    <w:name w:val="Body Text"/>
    <w:basedOn w:val="Normal"/>
    <w:link w:val="BodyTextChar"/>
    <w:uiPriority w:val="99"/>
    <w:unhideWhenUsed/>
    <w:rsid w:val="005977AF"/>
    <w:pPr>
      <w:spacing w:after="120"/>
    </w:pPr>
  </w:style>
  <w:style w:type="character" w:customStyle="1" w:styleId="BodyTextChar">
    <w:name w:val="Body Text Char"/>
    <w:basedOn w:val="DefaultParagraphFont"/>
    <w:link w:val="BodyText"/>
    <w:uiPriority w:val="99"/>
    <w:rsid w:val="0059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FF24-F74A-CA4C-BB36-5B31BCB9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5537</Words>
  <Characters>31566</Characters>
  <Application>Microsoft Macintosh Word</Application>
  <DocSecurity>0</DocSecurity>
  <Lines>263</Lines>
  <Paragraphs>74</Paragraphs>
  <ScaleCrop>false</ScaleCrop>
  <Company/>
  <LinksUpToDate>false</LinksUpToDate>
  <CharactersWithSpaces>37029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Davidson</dc:creator>
  <cp:keywords/>
  <dc:description/>
  <cp:lastModifiedBy>Danny Rye</cp:lastModifiedBy>
  <cp:revision>2</cp:revision>
  <cp:lastPrinted>2015-05-07T17:22:00Z</cp:lastPrinted>
  <dcterms:created xsi:type="dcterms:W3CDTF">2015-05-07T17:33:00Z</dcterms:created>
  <dcterms:modified xsi:type="dcterms:W3CDTF">2015-05-07T17:33:00Z</dcterms:modified>
</cp:coreProperties>
</file>