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AE" w:rsidRPr="001C7B84" w:rsidRDefault="001C7B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487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 Figure FeO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B84" w:rsidRPr="001C7B84" w:rsidRDefault="001C7B84">
      <w:pPr>
        <w:rPr>
          <w:rFonts w:ascii="Times New Roman" w:hAnsi="Times New Roman" w:cs="Times New Roman"/>
          <w:sz w:val="24"/>
          <w:szCs w:val="24"/>
        </w:rPr>
      </w:pPr>
    </w:p>
    <w:p w:rsidR="001C7B84" w:rsidRPr="001C7B84" w:rsidRDefault="001C7B84">
      <w:pPr>
        <w:rPr>
          <w:rFonts w:ascii="Times New Roman" w:hAnsi="Times New Roman" w:cs="Times New Roman"/>
          <w:sz w:val="24"/>
          <w:szCs w:val="24"/>
        </w:rPr>
      </w:pPr>
      <w:r w:rsidRPr="001C7B84">
        <w:rPr>
          <w:rFonts w:ascii="Times New Roman" w:hAnsi="Times New Roman" w:cs="Times New Roman"/>
          <w:sz w:val="24"/>
          <w:szCs w:val="24"/>
        </w:rPr>
        <w:t xml:space="preserve">Supplemental Figure </w:t>
      </w:r>
      <w:r w:rsidR="00331274">
        <w:rPr>
          <w:rFonts w:ascii="Times New Roman" w:hAnsi="Times New Roman" w:cs="Times New Roman"/>
          <w:sz w:val="24"/>
          <w:szCs w:val="24"/>
        </w:rPr>
        <w:t>2</w:t>
      </w:r>
      <w:r w:rsidRPr="001C7B84">
        <w:rPr>
          <w:rFonts w:ascii="Times New Roman" w:hAnsi="Times New Roman" w:cs="Times New Roman"/>
          <w:sz w:val="24"/>
          <w:szCs w:val="24"/>
        </w:rPr>
        <w:t>. Calibration curve used for</w:t>
      </w:r>
      <w:r w:rsidR="00331274">
        <w:rPr>
          <w:rFonts w:ascii="Times New Roman" w:hAnsi="Times New Roman" w:cs="Times New Roman"/>
          <w:sz w:val="24"/>
          <w:szCs w:val="24"/>
        </w:rPr>
        <w:t xml:space="preserve"> determining ferrous iron (Fe(II))</w:t>
      </w:r>
      <w:bookmarkStart w:id="0" w:name="_GoBack"/>
      <w:bookmarkEnd w:id="0"/>
      <w:r w:rsidRPr="001C7B84">
        <w:rPr>
          <w:rFonts w:ascii="Times New Roman" w:hAnsi="Times New Roman" w:cs="Times New Roman"/>
          <w:sz w:val="24"/>
          <w:szCs w:val="24"/>
        </w:rPr>
        <w:t xml:space="preserve"> content of regolith samples.  Rock standards (SCO-1, SGR-1, GXR-5, MAG, and W2) are shown.</w:t>
      </w:r>
    </w:p>
    <w:sectPr w:rsidR="001C7B84" w:rsidRPr="001C7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A1"/>
    <w:rsid w:val="001C7B84"/>
    <w:rsid w:val="00331274"/>
    <w:rsid w:val="00796BA1"/>
    <w:rsid w:val="00C5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EAA4"/>
  <w15:chartTrackingRefBased/>
  <w15:docId w15:val="{916D7834-92C2-4A92-8E1F-71C6CEAE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Murray State University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Gary Stinchcomb</cp:lastModifiedBy>
  <cp:revision>4</cp:revision>
  <dcterms:created xsi:type="dcterms:W3CDTF">2017-09-06T16:09:00Z</dcterms:created>
  <dcterms:modified xsi:type="dcterms:W3CDTF">2018-05-18T14:43:00Z</dcterms:modified>
</cp:coreProperties>
</file>