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9C33" w14:textId="07994AAB" w:rsidR="009B1989" w:rsidRPr="00B46E9E" w:rsidRDefault="005D74FE" w:rsidP="009B198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Table 1. For selected samples and constants from table 5 of Hsu (1963);  a comparison of </w:t>
      </w:r>
      <w:r w:rsidR="009B1989"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="009B1989"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="009B1989"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="009B1989"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 values calculated by Hsu (1963) and that recalculated in this study using SUPCRT92 (Johnson and others, 1992). The use of SUPCRT92 </w:t>
      </w:r>
      <w:r w:rsidR="009B1989"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="009B1989"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="009B1989"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cal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 increases the calculated </w:t>
      </w:r>
      <w:r w:rsidR="009B1989"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="009B1989"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="009B1989"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="009B1989"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 by 0.38 log units compared to that calculated with the Garrells and Dr</w:t>
      </w:r>
      <w:r w:rsidR="00830DD0">
        <w:rPr>
          <w:rFonts w:ascii="Times New Roman" w:hAnsi="Times New Roman" w:cs="Times New Roman"/>
          <w:sz w:val="24"/>
          <w:szCs w:val="24"/>
        </w:rPr>
        <w:t>ever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 (1952) constant. This shifts the </w:t>
      </w:r>
      <w:r w:rsidR="009B1989"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="009B1989"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="009B1989"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="009B1989"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="009B1989"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="009B1989" w:rsidRPr="00B46E9E">
        <w:rPr>
          <w:rFonts w:ascii="Times New Roman" w:hAnsi="Times New Roman" w:cs="Times New Roman"/>
          <w:sz w:val="24"/>
          <w:szCs w:val="24"/>
        </w:rPr>
        <w:t xml:space="preserve"> value from -16.69 (Hsu, 1963) to -17.07. </w:t>
      </w:r>
    </w:p>
    <w:p w14:paraId="39E60E1E" w14:textId="77777777" w:rsidR="009B1989" w:rsidRPr="00B46E9E" w:rsidRDefault="009B1989" w:rsidP="009B198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9B87A93" w14:textId="77777777" w:rsidR="009B1989" w:rsidRPr="00B46E9E" w:rsidRDefault="009B1989" w:rsidP="009B1989">
      <w:pPr>
        <w:pStyle w:val="BodyText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B46E9E">
        <w:rPr>
          <w:rFonts w:ascii="Times New Roman" w:hAnsi="Times New Roman" w:cs="Times New Roman"/>
          <w:sz w:val="24"/>
          <w:szCs w:val="24"/>
        </w:rPr>
        <w:t>Eq (1)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 xml:space="preserve">sp°−dol </w:t>
      </w:r>
      <w:r w:rsidRPr="00B46E9E">
        <w:rPr>
          <w:rFonts w:ascii="Times New Roman" w:hAnsi="Times New Roman" w:cs="Times New Roman"/>
          <w:sz w:val="24"/>
          <w:szCs w:val="24"/>
        </w:rPr>
        <w:t>= [Ca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[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</m:oMath>
      <w:r w:rsidRPr="00B46E9E">
        <w:rPr>
          <w:rFonts w:ascii="Times New Roman" w:hAnsi="Times New Roman" w:cs="Times New Roman"/>
          <w:sz w:val="24"/>
          <w:szCs w:val="24"/>
        </w:rPr>
        <w:t>Ca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[Mg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[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</m:oMath>
      <w:r w:rsidRPr="00B46E9E">
        <w:rPr>
          <w:rFonts w:ascii="Times New Roman" w:hAnsi="Times New Roman" w:cs="Times New Roman"/>
          <w:sz w:val="24"/>
          <w:szCs w:val="24"/>
        </w:rPr>
        <w:t>Mg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(CO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2−</w:t>
      </w:r>
      <w:r w:rsidRPr="00B46E9E">
        <w:rPr>
          <w:rFonts w:ascii="Times New Roman" w:hAnsi="Times New Roman" w:cs="Times New Roman"/>
          <w:sz w:val="24"/>
          <w:szCs w:val="24"/>
        </w:rPr>
        <w:t>)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6E9E">
        <w:rPr>
          <w:rFonts w:ascii="Times New Roman" w:hAnsi="Times New Roman" w:cs="Times New Roman"/>
          <w:sz w:val="24"/>
          <w:szCs w:val="24"/>
        </w:rPr>
        <w:t xml:space="preserve">  (from eq (4) Hsu, 1963). Hsu (1963) determines this </w:t>
      </w:r>
      <w:r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Pr="00B46E9E">
        <w:rPr>
          <w:rFonts w:ascii="Times New Roman" w:hAnsi="Times New Roman" w:cs="Times New Roman"/>
          <w:sz w:val="24"/>
          <w:szCs w:val="24"/>
        </w:rPr>
        <w:t xml:space="preserve"> value to demonstrate the effect of loss of CO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6E9E">
        <w:rPr>
          <w:rFonts w:ascii="Times New Roman" w:hAnsi="Times New Roman" w:cs="Times New Roman"/>
          <w:sz w:val="24"/>
          <w:szCs w:val="24"/>
        </w:rPr>
        <w:t xml:space="preserve"> during sampling, which produces a more soluble (larger) estimate for </w:t>
      </w:r>
      <w:r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Pr="00B46E9E">
        <w:rPr>
          <w:rFonts w:ascii="Times New Roman" w:hAnsi="Times New Roman" w:cs="Times New Roman"/>
          <w:sz w:val="24"/>
          <w:szCs w:val="24"/>
        </w:rPr>
        <w:t>, and the advantage of assuming calcite-dolomite equilibrium.</w:t>
      </w:r>
    </w:p>
    <w:p w14:paraId="454345E6" w14:textId="1CD968C9" w:rsidR="009B1989" w:rsidRPr="00B46E9E" w:rsidRDefault="009B1989" w:rsidP="009B1989">
      <w:pPr>
        <w:pStyle w:val="BodyText"/>
        <w:jc w:val="both"/>
        <w:rPr>
          <w:rFonts w:ascii="Times New Roman" w:hAnsi="Times New Roman" w:cs="Times New Roman"/>
          <w:w w:val="86"/>
          <w:sz w:val="24"/>
          <w:szCs w:val="24"/>
        </w:rPr>
      </w:pPr>
      <w:r w:rsidRPr="00B46E9E">
        <w:rPr>
          <w:rFonts w:ascii="Times New Roman" w:hAnsi="Times New Roman" w:cs="Times New Roman"/>
          <w:sz w:val="24"/>
          <w:szCs w:val="24"/>
        </w:rPr>
        <w:t>Eq (2)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sp°−dol</w:t>
      </w:r>
      <w:r w:rsidRPr="00B46E9E">
        <w:rPr>
          <w:rFonts w:ascii="Times New Roman" w:hAnsi="Times New Roman" w:cs="Times New Roman"/>
          <w:sz w:val="24"/>
          <w:szCs w:val="24"/>
        </w:rPr>
        <w:t>=[Mg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[Ca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 xml:space="preserve"> 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6E9E">
        <w:rPr>
          <w:rFonts w:ascii="Times New Roman" w:hAnsi="Times New Roman" w:cs="Times New Roman"/>
          <w:sz w:val="24"/>
          <w:szCs w:val="24"/>
        </w:rPr>
        <w:t xml:space="preserve"> (K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>= 5.1×10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B46E9E">
        <w:rPr>
          <w:rFonts w:ascii="Times New Roman" w:hAnsi="Times New Roman" w:cs="Times New Roman"/>
          <w:sz w:val="24"/>
          <w:szCs w:val="24"/>
        </w:rPr>
        <w:t xml:space="preserve">)  (from eq (8) Hsu, 1963). Hsu (1963) determines </w:t>
      </w:r>
      <w:r w:rsidRPr="00B46E9E">
        <w:rPr>
          <w:rFonts w:ascii="Times New Roman" w:hAnsi="Times New Roman" w:cs="Times New Roman"/>
          <w:w w:val="102"/>
          <w:sz w:val="24"/>
          <w:szCs w:val="24"/>
        </w:rPr>
        <w:t>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</w:t>
      </w:r>
      <w:r w:rsidRPr="00B46E9E">
        <w:rPr>
          <w:rFonts w:ascii="Times New Roman" w:hAnsi="Times New Roman" w:cs="Times New Roman"/>
          <w:w w:val="93"/>
          <w:sz w:val="24"/>
          <w:szCs w:val="24"/>
          <w:vertAlign w:val="subscript"/>
        </w:rPr>
        <w:t>°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−</w:t>
      </w:r>
      <w:r w:rsidRPr="00B46E9E">
        <w:rPr>
          <w:rFonts w:ascii="Times New Roman" w:hAnsi="Times New Roman" w:cs="Times New Roman"/>
          <w:spacing w:val="-6"/>
          <w:w w:val="98"/>
          <w:sz w:val="24"/>
          <w:szCs w:val="24"/>
          <w:vertAlign w:val="subscript"/>
        </w:rPr>
        <w:t>do</w:t>
      </w:r>
      <w:r w:rsidRPr="00B46E9E">
        <w:rPr>
          <w:rFonts w:ascii="Times New Roman" w:hAnsi="Times New Roman" w:cs="Times New Roman"/>
          <w:w w:val="106"/>
          <w:sz w:val="24"/>
          <w:szCs w:val="24"/>
          <w:vertAlign w:val="subscript"/>
        </w:rPr>
        <w:t>l</w:t>
      </w:r>
      <w:r w:rsidRPr="00B46E9E">
        <w:rPr>
          <w:rFonts w:ascii="Times New Roman" w:hAnsi="Times New Roman" w:cs="Times New Roman"/>
          <w:sz w:val="24"/>
          <w:szCs w:val="24"/>
        </w:rPr>
        <w:t xml:space="preserve"> using the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 xml:space="preserve"> value from</w:t>
      </w:r>
      <w:r w:rsidR="00830DD0" w:rsidRPr="00830DD0">
        <w:rPr>
          <w:rFonts w:ascii="Times New Roman" w:hAnsi="Times New Roman" w:cs="Times New Roman"/>
          <w:sz w:val="24"/>
          <w:szCs w:val="24"/>
        </w:rPr>
        <w:t xml:space="preserve"> </w:t>
      </w:r>
      <w:r w:rsidR="00830DD0" w:rsidRPr="00B46E9E">
        <w:rPr>
          <w:rFonts w:ascii="Times New Roman" w:hAnsi="Times New Roman" w:cs="Times New Roman"/>
          <w:sz w:val="24"/>
          <w:szCs w:val="24"/>
        </w:rPr>
        <w:t>Garrells and Dr</w:t>
      </w:r>
      <w:r w:rsidR="00830DD0">
        <w:rPr>
          <w:rFonts w:ascii="Times New Roman" w:hAnsi="Times New Roman" w:cs="Times New Roman"/>
          <w:sz w:val="24"/>
          <w:szCs w:val="24"/>
        </w:rPr>
        <w:t>ever</w:t>
      </w:r>
      <w:r w:rsidRPr="00B46E9E">
        <w:rPr>
          <w:rFonts w:ascii="Times New Roman" w:hAnsi="Times New Roman" w:cs="Times New Roman"/>
          <w:sz w:val="24"/>
          <w:szCs w:val="24"/>
        </w:rPr>
        <w:t xml:space="preserve"> (1952) of 5.1×10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B46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0A7D2" w14:textId="5FAE00C3" w:rsidR="009B1989" w:rsidRDefault="009B1989" w:rsidP="009B198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46E9E">
        <w:rPr>
          <w:rFonts w:ascii="Times New Roman" w:hAnsi="Times New Roman" w:cs="Times New Roman"/>
          <w:sz w:val="24"/>
          <w:szCs w:val="24"/>
        </w:rPr>
        <w:t>Eq (3)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sp°−dol</w:t>
      </w:r>
      <w:r w:rsidRPr="00B46E9E">
        <w:rPr>
          <w:rFonts w:ascii="Times New Roman" w:hAnsi="Times New Roman" w:cs="Times New Roman"/>
          <w:sz w:val="24"/>
          <w:szCs w:val="24"/>
        </w:rPr>
        <w:t>=[Mg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[Ca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6E9E">
        <w:rPr>
          <w:rFonts w:ascii="Times New Roman" w:hAnsi="Times New Roman" w:cs="Times New Roman"/>
          <w:sz w:val="24"/>
          <w:szCs w:val="24"/>
        </w:rPr>
        <w:t>]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 xml:space="preserve"> 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6E9E">
        <w:rPr>
          <w:rFonts w:ascii="Times New Roman" w:hAnsi="Times New Roman" w:cs="Times New Roman"/>
          <w:sz w:val="24"/>
          <w:szCs w:val="24"/>
        </w:rPr>
        <w:t xml:space="preserve"> (K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 xml:space="preserve"> = 3.311×10</w:t>
      </w:r>
      <w:r w:rsidRPr="00B46E9E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B46E9E">
        <w:rPr>
          <w:rFonts w:ascii="Times New Roman" w:hAnsi="Times New Roman" w:cs="Times New Roman"/>
          <w:sz w:val="24"/>
          <w:szCs w:val="24"/>
        </w:rPr>
        <w:t>) This studies calculation of the Hsu (1963) dataset using the K</w:t>
      </w:r>
      <w:r w:rsidRPr="00B46E9E">
        <w:rPr>
          <w:rFonts w:ascii="Times New Roman" w:hAnsi="Times New Roman" w:cs="Times New Roman"/>
          <w:sz w:val="24"/>
          <w:szCs w:val="24"/>
          <w:vertAlign w:val="subscript"/>
        </w:rPr>
        <w:t>sp°−cal</w:t>
      </w:r>
      <w:r w:rsidRPr="00B46E9E">
        <w:rPr>
          <w:rFonts w:ascii="Times New Roman" w:hAnsi="Times New Roman" w:cs="Times New Roman"/>
          <w:sz w:val="24"/>
          <w:szCs w:val="24"/>
        </w:rPr>
        <w:t xml:space="preserve"> value from Plummer and Busenberg (1982) as implemented in SUPCRT92 (table </w:t>
      </w:r>
      <w:r w:rsidR="00711707">
        <w:rPr>
          <w:rFonts w:ascii="Times New Roman" w:hAnsi="Times New Roman" w:cs="Times New Roman"/>
          <w:sz w:val="24"/>
          <w:szCs w:val="24"/>
        </w:rPr>
        <w:t>1</w:t>
      </w:r>
      <w:r w:rsidRPr="00B46E9E">
        <w:rPr>
          <w:rFonts w:ascii="Times New Roman" w:hAnsi="Times New Roman" w:cs="Times New Roman"/>
          <w:sz w:val="24"/>
          <w:szCs w:val="24"/>
        </w:rPr>
        <w:t>; Johnson and others, 1992).</w:t>
      </w:r>
    </w:p>
    <w:p w14:paraId="37622E94" w14:textId="4CA1A2EE" w:rsidR="009B1989" w:rsidRDefault="009B1989" w:rsidP="009B198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796"/>
        <w:gridCol w:w="1878"/>
        <w:gridCol w:w="1893"/>
        <w:gridCol w:w="1987"/>
      </w:tblGrid>
      <w:tr w:rsidR="009B1989" w14:paraId="2ED77DDC" w14:textId="26D44086" w:rsidTr="009B1989">
        <w:tc>
          <w:tcPr>
            <w:tcW w:w="1796" w:type="dxa"/>
            <w:vMerge w:val="restart"/>
          </w:tcPr>
          <w:p w14:paraId="464F2260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14:paraId="10C1B0B4" w14:textId="4A309EF6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gridSpan w:val="2"/>
          </w:tcPr>
          <w:p w14:paraId="520BEEDD" w14:textId="511FA076" w:rsidR="009B1989" w:rsidRDefault="009B1989" w:rsidP="009B1989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</w:t>
            </w:r>
          </w:p>
        </w:tc>
        <w:tc>
          <w:tcPr>
            <w:tcW w:w="1987" w:type="dxa"/>
            <w:vMerge w:val="restart"/>
          </w:tcPr>
          <w:p w14:paraId="37BC0F59" w14:textId="59DC2D3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Hsu., (1963) average</w:t>
            </w:r>
          </w:p>
        </w:tc>
      </w:tr>
      <w:tr w:rsidR="009B1989" w14:paraId="4F74C250" w14:textId="44A5ABCA" w:rsidTr="009B1989">
        <w:tc>
          <w:tcPr>
            <w:tcW w:w="1796" w:type="dxa"/>
            <w:vMerge/>
          </w:tcPr>
          <w:p w14:paraId="7F0826F0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1C043824" w14:textId="64E6A300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68EA8109" w14:textId="08135935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57-28</w:t>
            </w:r>
          </w:p>
        </w:tc>
        <w:tc>
          <w:tcPr>
            <w:tcW w:w="1893" w:type="dxa"/>
          </w:tcPr>
          <w:p w14:paraId="07652CCF" w14:textId="176CF901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105"/>
                <w:sz w:val="24"/>
                <w:szCs w:val="24"/>
              </w:rPr>
              <w:t>57-111</w:t>
            </w:r>
          </w:p>
        </w:tc>
        <w:tc>
          <w:tcPr>
            <w:tcW w:w="1987" w:type="dxa"/>
            <w:vMerge/>
          </w:tcPr>
          <w:p w14:paraId="22BC31C9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989" w14:paraId="4DC6883E" w14:textId="28CEB7D9" w:rsidTr="009B1989">
        <w:tc>
          <w:tcPr>
            <w:tcW w:w="1796" w:type="dxa"/>
            <w:vMerge w:val="restart"/>
          </w:tcPr>
          <w:p w14:paraId="5E258680" w14:textId="6A9F288A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Hsu (1963) observed</w:t>
            </w:r>
          </w:p>
        </w:tc>
        <w:tc>
          <w:tcPr>
            <w:tcW w:w="1796" w:type="dxa"/>
          </w:tcPr>
          <w:p w14:paraId="4D4F4AFB" w14:textId="3755E52A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98"/>
                <w:sz w:val="24"/>
                <w:szCs w:val="24"/>
              </w:rPr>
              <w:t>Ca</w:t>
            </w:r>
            <w:r w:rsidRPr="00B46E9E">
              <w:rPr>
                <w:rFonts w:ascii="Times New Roman" w:hAnsi="Times New Roman" w:cs="Times New Roman"/>
                <w:w w:val="103"/>
                <w:sz w:val="24"/>
                <w:szCs w:val="24"/>
                <w:vertAlign w:val="superscript"/>
              </w:rPr>
              <w:t>2+</w:t>
            </w: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78" w:type="dxa"/>
          </w:tcPr>
          <w:p w14:paraId="75FC69CE" w14:textId="1545AE6A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93" w:type="dxa"/>
          </w:tcPr>
          <w:p w14:paraId="6F73EFE1" w14:textId="716A156B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987" w:type="dxa"/>
          </w:tcPr>
          <w:p w14:paraId="1D6FD2C8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989" w14:paraId="04A0BB60" w14:textId="65F5F90D" w:rsidTr="009B1989">
        <w:tc>
          <w:tcPr>
            <w:tcW w:w="1796" w:type="dxa"/>
            <w:vMerge/>
          </w:tcPr>
          <w:p w14:paraId="54B206D7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546595F4" w14:textId="5949A6AE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103"/>
                <w:sz w:val="24"/>
                <w:szCs w:val="24"/>
              </w:rPr>
              <w:t>Mg</w:t>
            </w:r>
            <w:r w:rsidRPr="00B46E9E">
              <w:rPr>
                <w:rFonts w:ascii="Times New Roman" w:hAnsi="Times New Roman" w:cs="Times New Roman"/>
                <w:w w:val="103"/>
                <w:sz w:val="24"/>
                <w:szCs w:val="24"/>
                <w:vertAlign w:val="superscript"/>
              </w:rPr>
              <w:t>2+</w:t>
            </w: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878" w:type="dxa"/>
          </w:tcPr>
          <w:p w14:paraId="58368CE7" w14:textId="07E8F3B4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893" w:type="dxa"/>
          </w:tcPr>
          <w:p w14:paraId="3FC85CE6" w14:textId="5723A691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987" w:type="dxa"/>
          </w:tcPr>
          <w:p w14:paraId="286062FB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989" w14:paraId="37EBDA31" w14:textId="14C2094F" w:rsidTr="009B1989">
        <w:tc>
          <w:tcPr>
            <w:tcW w:w="1796" w:type="dxa"/>
            <w:vMerge/>
          </w:tcPr>
          <w:p w14:paraId="13D4F262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254100DB" w14:textId="52F0D24D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878" w:type="dxa"/>
          </w:tcPr>
          <w:p w14:paraId="49CAA720" w14:textId="2C3BE0DA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893" w:type="dxa"/>
          </w:tcPr>
          <w:p w14:paraId="7E7A6118" w14:textId="364C1704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987" w:type="dxa"/>
          </w:tcPr>
          <w:p w14:paraId="72EBD22B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989" w14:paraId="78459C24" w14:textId="5BEABDD8" w:rsidTr="009B1989">
        <w:tc>
          <w:tcPr>
            <w:tcW w:w="1796" w:type="dxa"/>
            <w:vMerge w:val="restart"/>
          </w:tcPr>
          <w:p w14:paraId="5A99950F" w14:textId="19DEBEDF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Hsu (1963) calculated</w:t>
            </w:r>
          </w:p>
        </w:tc>
        <w:tc>
          <w:tcPr>
            <w:tcW w:w="1796" w:type="dxa"/>
          </w:tcPr>
          <w:p w14:paraId="6E1E6908" w14:textId="269D4D68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Mg:Ca</w:t>
            </w:r>
          </w:p>
        </w:tc>
        <w:tc>
          <w:tcPr>
            <w:tcW w:w="1878" w:type="dxa"/>
          </w:tcPr>
          <w:p w14:paraId="1FB052F1" w14:textId="7DCE443E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A6AA4EB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14:paraId="5781FBFB" w14:textId="6DCD7D2C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9B1989" w14:paraId="1921C7C0" w14:textId="77777777" w:rsidTr="009B1989">
        <w:tc>
          <w:tcPr>
            <w:tcW w:w="1796" w:type="dxa"/>
            <w:vMerge/>
          </w:tcPr>
          <w:p w14:paraId="5F2E6B8D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22F699D7" w14:textId="4261B69B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Eq.1</w:t>
            </w:r>
          </w:p>
        </w:tc>
        <w:tc>
          <w:tcPr>
            <w:tcW w:w="1878" w:type="dxa"/>
          </w:tcPr>
          <w:p w14:paraId="697886F3" w14:textId="2B725E46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1.6×10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−15</w:t>
            </w:r>
          </w:p>
        </w:tc>
        <w:tc>
          <w:tcPr>
            <w:tcW w:w="1893" w:type="dxa"/>
          </w:tcPr>
          <w:p w14:paraId="4FDDFACF" w14:textId="1B4BF63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5.7×10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−16</w:t>
            </w:r>
          </w:p>
        </w:tc>
        <w:tc>
          <w:tcPr>
            <w:tcW w:w="1987" w:type="dxa"/>
          </w:tcPr>
          <w:p w14:paraId="11EBAB92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1989" w14:paraId="44F6A6F2" w14:textId="77777777" w:rsidTr="009B1989">
        <w:tc>
          <w:tcPr>
            <w:tcW w:w="1796" w:type="dxa"/>
            <w:vMerge/>
          </w:tcPr>
          <w:p w14:paraId="5A228691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3FF8BDB5" w14:textId="61B4D6A1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Eq.2</w:t>
            </w:r>
          </w:p>
        </w:tc>
        <w:tc>
          <w:tcPr>
            <w:tcW w:w="1878" w:type="dxa"/>
          </w:tcPr>
          <w:p w14:paraId="4492A1FE" w14:textId="5D9779AC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1.9×10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−17</w:t>
            </w:r>
          </w:p>
        </w:tc>
        <w:tc>
          <w:tcPr>
            <w:tcW w:w="1893" w:type="dxa"/>
          </w:tcPr>
          <w:p w14:paraId="485D73ED" w14:textId="2E9252F9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2.3×10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−17</w:t>
            </w:r>
          </w:p>
        </w:tc>
        <w:tc>
          <w:tcPr>
            <w:tcW w:w="1987" w:type="dxa"/>
          </w:tcPr>
          <w:p w14:paraId="44351F18" w14:textId="5261E3C0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2.0×10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−17</w:t>
            </w:r>
          </w:p>
        </w:tc>
      </w:tr>
      <w:tr w:rsidR="009B1989" w14:paraId="53C6E182" w14:textId="77777777" w:rsidTr="009B1989">
        <w:tc>
          <w:tcPr>
            <w:tcW w:w="1796" w:type="dxa"/>
            <w:vMerge w:val="restart"/>
          </w:tcPr>
          <w:p w14:paraId="07E0AE06" w14:textId="6658DDDC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This study calculated</w:t>
            </w:r>
          </w:p>
        </w:tc>
        <w:tc>
          <w:tcPr>
            <w:tcW w:w="1796" w:type="dxa"/>
          </w:tcPr>
          <w:p w14:paraId="5180E070" w14:textId="2979F6B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111"/>
                <w:sz w:val="24"/>
                <w:szCs w:val="24"/>
              </w:rPr>
              <w:t>Eq.2 pK</w:t>
            </w:r>
            <w:r w:rsidRPr="00B46E9E">
              <w:rPr>
                <w:rFonts w:ascii="Times New Roman" w:hAnsi="Times New Roman" w:cs="Times New Roman"/>
                <w:w w:val="90"/>
                <w:sz w:val="24"/>
                <w:szCs w:val="24"/>
                <w:vertAlign w:val="subscript"/>
              </w:rPr>
              <w:t>sp</w:t>
            </w:r>
            <w:r w:rsidRPr="00B46E9E">
              <w:rPr>
                <w:rFonts w:ascii="Times New Roman" w:hAnsi="Times New Roman" w:cs="Times New Roman"/>
                <w:w w:val="59"/>
                <w:sz w:val="24"/>
                <w:szCs w:val="24"/>
                <w:vertAlign w:val="subscript"/>
              </w:rPr>
              <w:t>°</w:t>
            </w:r>
            <w:r w:rsidRPr="00B46E9E">
              <w:rPr>
                <w:rFonts w:ascii="Times New Roman" w:hAnsi="Times New Roman" w:cs="Times New Roman"/>
                <w:w w:val="145"/>
                <w:sz w:val="24"/>
                <w:szCs w:val="24"/>
                <w:vertAlign w:val="subscript"/>
              </w:rPr>
              <w:t>−</w:t>
            </w:r>
            <w:r w:rsidRPr="00B46E9E">
              <w:rPr>
                <w:rFonts w:ascii="Times New Roman" w:hAnsi="Times New Roman" w:cs="Times New Roman"/>
                <w:w w:val="95"/>
                <w:sz w:val="24"/>
                <w:szCs w:val="24"/>
                <w:vertAlign w:val="subscript"/>
              </w:rPr>
              <w:t>dol</w:t>
            </w:r>
          </w:p>
        </w:tc>
        <w:tc>
          <w:tcPr>
            <w:tcW w:w="1878" w:type="dxa"/>
          </w:tcPr>
          <w:p w14:paraId="582F14BC" w14:textId="4B88FE4C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16.73</w:t>
            </w:r>
          </w:p>
        </w:tc>
        <w:tc>
          <w:tcPr>
            <w:tcW w:w="1893" w:type="dxa"/>
          </w:tcPr>
          <w:p w14:paraId="213B474A" w14:textId="7952A32E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  <w:tc>
          <w:tcPr>
            <w:tcW w:w="1987" w:type="dxa"/>
          </w:tcPr>
          <w:p w14:paraId="7A2AB74C" w14:textId="77DB4A30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16.69</w:t>
            </w:r>
          </w:p>
        </w:tc>
      </w:tr>
      <w:tr w:rsidR="009B1989" w14:paraId="08A91307" w14:textId="77777777" w:rsidTr="009B1989">
        <w:tc>
          <w:tcPr>
            <w:tcW w:w="1796" w:type="dxa"/>
            <w:vMerge/>
          </w:tcPr>
          <w:p w14:paraId="0FC61EA8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3E92D21F" w14:textId="1303CD9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Eq.3</w:t>
            </w:r>
          </w:p>
        </w:tc>
        <w:tc>
          <w:tcPr>
            <w:tcW w:w="1878" w:type="dxa"/>
          </w:tcPr>
          <w:p w14:paraId="2193C6DB" w14:textId="59530E60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7.77×10</w:t>
            </w:r>
            <w:r w:rsidRPr="00B46E9E">
              <w:rPr>
                <w:rFonts w:ascii="Times New Roman" w:hAnsi="Times New Roman" w:cs="Times New Roman"/>
                <w:w w:val="105"/>
                <w:sz w:val="24"/>
                <w:szCs w:val="24"/>
                <w:vertAlign w:val="superscript"/>
              </w:rPr>
              <w:t>−18</w:t>
            </w:r>
          </w:p>
        </w:tc>
        <w:tc>
          <w:tcPr>
            <w:tcW w:w="1893" w:type="dxa"/>
          </w:tcPr>
          <w:p w14:paraId="3D407FFF" w14:textId="598E8086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.65×10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−18</w:t>
            </w:r>
          </w:p>
        </w:tc>
        <w:tc>
          <w:tcPr>
            <w:tcW w:w="1987" w:type="dxa"/>
          </w:tcPr>
          <w:p w14:paraId="6E7B3B91" w14:textId="1EE2B0F6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8.55×10</w:t>
            </w:r>
            <w:r w:rsidRPr="00B46E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−18</w:t>
            </w:r>
          </w:p>
        </w:tc>
      </w:tr>
      <w:tr w:rsidR="009B1989" w14:paraId="715785EB" w14:textId="77777777" w:rsidTr="009B1989">
        <w:tc>
          <w:tcPr>
            <w:tcW w:w="1796" w:type="dxa"/>
            <w:vMerge/>
          </w:tcPr>
          <w:p w14:paraId="594BB601" w14:textId="77777777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4892229F" w14:textId="081F5CCD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 xml:space="preserve">Eq.3 </w:t>
            </w:r>
            <w:r w:rsidRPr="00B46E9E">
              <w:rPr>
                <w:rFonts w:ascii="Times New Roman" w:hAnsi="Times New Roman" w:cs="Times New Roman"/>
                <w:w w:val="111"/>
                <w:sz w:val="24"/>
                <w:szCs w:val="24"/>
              </w:rPr>
              <w:t>pK</w:t>
            </w:r>
            <w:r w:rsidRPr="00B46E9E">
              <w:rPr>
                <w:rFonts w:ascii="Times New Roman" w:hAnsi="Times New Roman" w:cs="Times New Roman"/>
                <w:w w:val="90"/>
                <w:sz w:val="24"/>
                <w:szCs w:val="24"/>
                <w:vertAlign w:val="subscript"/>
              </w:rPr>
              <w:t>sp</w:t>
            </w:r>
            <w:r w:rsidRPr="00B46E9E">
              <w:rPr>
                <w:rFonts w:ascii="Times New Roman" w:hAnsi="Times New Roman" w:cs="Times New Roman"/>
                <w:w w:val="59"/>
                <w:sz w:val="24"/>
                <w:szCs w:val="24"/>
                <w:vertAlign w:val="subscript"/>
              </w:rPr>
              <w:t>°</w:t>
            </w:r>
            <w:r w:rsidRPr="00B46E9E">
              <w:rPr>
                <w:rFonts w:ascii="Times New Roman" w:hAnsi="Times New Roman" w:cs="Times New Roman"/>
                <w:w w:val="145"/>
                <w:sz w:val="24"/>
                <w:szCs w:val="24"/>
                <w:vertAlign w:val="subscript"/>
              </w:rPr>
              <w:t>−</w:t>
            </w:r>
            <w:r w:rsidRPr="00B46E9E">
              <w:rPr>
                <w:rFonts w:ascii="Times New Roman" w:hAnsi="Times New Roman" w:cs="Times New Roman"/>
                <w:w w:val="95"/>
                <w:sz w:val="24"/>
                <w:szCs w:val="24"/>
                <w:vertAlign w:val="subscript"/>
              </w:rPr>
              <w:t>dol</w:t>
            </w:r>
          </w:p>
        </w:tc>
        <w:tc>
          <w:tcPr>
            <w:tcW w:w="1878" w:type="dxa"/>
          </w:tcPr>
          <w:p w14:paraId="29471AEF" w14:textId="744C7ABC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17.11</w:t>
            </w:r>
          </w:p>
        </w:tc>
        <w:tc>
          <w:tcPr>
            <w:tcW w:w="1893" w:type="dxa"/>
          </w:tcPr>
          <w:p w14:paraId="27E10F41" w14:textId="12682BD0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7" w:type="dxa"/>
          </w:tcPr>
          <w:p w14:paraId="0012EE95" w14:textId="44974356" w:rsidR="009B1989" w:rsidRDefault="009B1989" w:rsidP="009B1989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46E9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</w:tbl>
    <w:p w14:paraId="6FF46305" w14:textId="77777777" w:rsidR="009B1989" w:rsidRDefault="009B1989" w:rsidP="009B1989">
      <w:pPr>
        <w:pStyle w:val="BodyText"/>
        <w:jc w:val="both"/>
        <w:rPr>
          <w:rFonts w:ascii="Times New Roman" w:hAnsi="Times New Roman" w:cs="Times New Roman"/>
        </w:rPr>
      </w:pPr>
    </w:p>
    <w:p w14:paraId="4B997559" w14:textId="79FF21B7" w:rsidR="00153CEB" w:rsidRDefault="009B1989" w:rsidP="009B1989">
      <w:r>
        <w:rPr>
          <w:rFonts w:ascii="Times New Roman" w:hAnsi="Times New Roman" w:cs="Times New Roman"/>
        </w:rPr>
        <w:t xml:space="preserve"> </w:t>
      </w:r>
    </w:p>
    <w:sectPr w:rsidR="00153CEB" w:rsidSect="009B1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⺠끃翿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89"/>
    <w:rsid w:val="00153CEB"/>
    <w:rsid w:val="004631A9"/>
    <w:rsid w:val="0048441E"/>
    <w:rsid w:val="005D74FE"/>
    <w:rsid w:val="00681621"/>
    <w:rsid w:val="00711707"/>
    <w:rsid w:val="00815F9A"/>
    <w:rsid w:val="00830DD0"/>
    <w:rsid w:val="00996240"/>
    <w:rsid w:val="009B1989"/>
    <w:rsid w:val="00CC7D34"/>
    <w:rsid w:val="00E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164CF"/>
  <w15:chartTrackingRefBased/>
  <w15:docId w15:val="{DF6CF284-C2BC-024E-8833-683A61FD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1989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1989"/>
    <w:rPr>
      <w:rFonts w:ascii="Georgia" w:eastAsia="Georgia" w:hAnsi="Georgia" w:cs="Georg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B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Robertson</dc:creator>
  <cp:keywords/>
  <dc:description/>
  <cp:lastModifiedBy>Hamish Robertson</cp:lastModifiedBy>
  <cp:revision>4</cp:revision>
  <dcterms:created xsi:type="dcterms:W3CDTF">2021-04-16T17:24:00Z</dcterms:created>
  <dcterms:modified xsi:type="dcterms:W3CDTF">2021-04-29T14:47:00Z</dcterms:modified>
</cp:coreProperties>
</file>